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056F" w14:textId="765E7A2C" w:rsidR="00B5605B" w:rsidRDefault="00B5605B" w:rsidP="008C4B11">
      <w:pPr>
        <w:jc w:val="center"/>
        <w:rPr>
          <w:b/>
          <w:bCs/>
        </w:rPr>
      </w:pPr>
      <w:r>
        <w:rPr>
          <w:b/>
          <w:bCs/>
          <w:noProof/>
        </w:rPr>
        <w:drawing>
          <wp:inline distT="0" distB="0" distL="0" distR="0" wp14:anchorId="2181D6EF" wp14:editId="23E43350">
            <wp:extent cx="3451122" cy="11887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icsn_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122" cy="1188720"/>
                    </a:xfrm>
                    <a:prstGeom prst="rect">
                      <a:avLst/>
                    </a:prstGeom>
                  </pic:spPr>
                </pic:pic>
              </a:graphicData>
            </a:graphic>
          </wp:inline>
        </w:drawing>
      </w:r>
      <w:bookmarkStart w:id="0" w:name="_GoBack"/>
      <w:bookmarkEnd w:id="0"/>
    </w:p>
    <w:p w14:paraId="19CFD9B3" w14:textId="77777777" w:rsidR="00B5605B" w:rsidRDefault="00B5605B" w:rsidP="008C4B11">
      <w:pPr>
        <w:jc w:val="center"/>
        <w:rPr>
          <w:b/>
          <w:bCs/>
        </w:rPr>
      </w:pPr>
    </w:p>
    <w:p w14:paraId="1F33CB4B" w14:textId="7CFD7B31" w:rsidR="008C4B11" w:rsidRPr="008C4B11" w:rsidRDefault="008C4B11" w:rsidP="008C4B11">
      <w:pPr>
        <w:jc w:val="center"/>
        <w:rPr>
          <w:b/>
          <w:bCs/>
        </w:rPr>
      </w:pPr>
      <w:r w:rsidRPr="008C4B11">
        <w:rPr>
          <w:b/>
          <w:bCs/>
        </w:rPr>
        <w:t>House Bill 512 Fact Sheet</w:t>
      </w:r>
    </w:p>
    <w:p w14:paraId="210AB319" w14:textId="77777777" w:rsidR="008C4B11" w:rsidRPr="000D5C5B" w:rsidRDefault="008C4B11">
      <w:pPr>
        <w:rPr>
          <w:sz w:val="23"/>
          <w:szCs w:val="23"/>
        </w:rPr>
      </w:pPr>
    </w:p>
    <w:p w14:paraId="3285780F" w14:textId="64FC77F0" w:rsidR="008C4B11" w:rsidRPr="000D5C5B" w:rsidRDefault="008C4B11">
      <w:pPr>
        <w:rPr>
          <w:b/>
          <w:bCs/>
          <w:sz w:val="23"/>
          <w:szCs w:val="23"/>
        </w:rPr>
      </w:pPr>
      <w:r w:rsidRPr="000D5C5B">
        <w:rPr>
          <w:b/>
          <w:bCs/>
          <w:sz w:val="23"/>
          <w:szCs w:val="23"/>
        </w:rPr>
        <w:t>What Is HB512?</w:t>
      </w:r>
    </w:p>
    <w:p w14:paraId="44920D27" w14:textId="5E8B44A2" w:rsidR="008C4B11" w:rsidRPr="000D5C5B" w:rsidRDefault="008C4B11">
      <w:pPr>
        <w:rPr>
          <w:sz w:val="23"/>
          <w:szCs w:val="23"/>
        </w:rPr>
      </w:pPr>
      <w:r w:rsidRPr="000D5C5B">
        <w:rPr>
          <w:sz w:val="23"/>
          <w:szCs w:val="23"/>
        </w:rPr>
        <w:t xml:space="preserve">HB512 would provide Idaho Public Charter schools the voluntary option of utilizing </w:t>
      </w:r>
      <w:r w:rsidR="00A32618" w:rsidRPr="000D5C5B">
        <w:rPr>
          <w:sz w:val="23"/>
          <w:szCs w:val="23"/>
        </w:rPr>
        <w:t xml:space="preserve">a “weighted student lottery” should the charter school be overenrolled and required to administer a lottery for new </w:t>
      </w:r>
      <w:r w:rsidR="00785AF4" w:rsidRPr="000D5C5B">
        <w:rPr>
          <w:sz w:val="23"/>
          <w:szCs w:val="23"/>
        </w:rPr>
        <w:t xml:space="preserve">student </w:t>
      </w:r>
      <w:r w:rsidR="00A32618" w:rsidRPr="000D5C5B">
        <w:rPr>
          <w:sz w:val="23"/>
          <w:szCs w:val="23"/>
        </w:rPr>
        <w:t xml:space="preserve">enrollments. </w:t>
      </w:r>
      <w:r w:rsidR="000C474B">
        <w:rPr>
          <w:sz w:val="23"/>
          <w:szCs w:val="23"/>
        </w:rPr>
        <w:t xml:space="preserve">Students who meet the following criteria </w:t>
      </w:r>
      <w:r w:rsidR="001A7182">
        <w:rPr>
          <w:sz w:val="23"/>
          <w:szCs w:val="23"/>
        </w:rPr>
        <w:t>c</w:t>
      </w:r>
      <w:r w:rsidR="000C474B">
        <w:rPr>
          <w:sz w:val="23"/>
          <w:szCs w:val="23"/>
        </w:rPr>
        <w:t>ould be given additional</w:t>
      </w:r>
      <w:r w:rsidR="00A32618" w:rsidRPr="000D5C5B">
        <w:rPr>
          <w:sz w:val="23"/>
          <w:szCs w:val="23"/>
        </w:rPr>
        <w:t xml:space="preserve"> “weights”</w:t>
      </w:r>
      <w:r w:rsidR="000C474B">
        <w:rPr>
          <w:sz w:val="23"/>
          <w:szCs w:val="23"/>
        </w:rPr>
        <w:t xml:space="preserve"> in the lottery</w:t>
      </w:r>
      <w:r w:rsidR="00A32618" w:rsidRPr="000D5C5B">
        <w:rPr>
          <w:sz w:val="23"/>
          <w:szCs w:val="23"/>
        </w:rPr>
        <w:t>:</w:t>
      </w:r>
    </w:p>
    <w:p w14:paraId="631AE5E6" w14:textId="38F23D71" w:rsidR="00785AF4" w:rsidRPr="000D5C5B" w:rsidRDefault="00785AF4" w:rsidP="00785AF4">
      <w:pPr>
        <w:pStyle w:val="ListParagraph"/>
        <w:numPr>
          <w:ilvl w:val="0"/>
          <w:numId w:val="1"/>
        </w:numPr>
        <w:rPr>
          <w:sz w:val="23"/>
          <w:szCs w:val="23"/>
        </w:rPr>
      </w:pPr>
      <w:r w:rsidRPr="000D5C5B">
        <w:rPr>
          <w:sz w:val="23"/>
          <w:szCs w:val="23"/>
        </w:rPr>
        <w:t>Students living at or below 185 percent of the federal poverty level.</w:t>
      </w:r>
    </w:p>
    <w:p w14:paraId="19F29654" w14:textId="58762F8F" w:rsidR="00785AF4" w:rsidRPr="000D5C5B" w:rsidRDefault="00785AF4" w:rsidP="00785AF4">
      <w:pPr>
        <w:pStyle w:val="ListParagraph"/>
        <w:numPr>
          <w:ilvl w:val="0"/>
          <w:numId w:val="1"/>
        </w:numPr>
        <w:rPr>
          <w:sz w:val="23"/>
          <w:szCs w:val="23"/>
        </w:rPr>
      </w:pPr>
      <w:r w:rsidRPr="000D5C5B">
        <w:rPr>
          <w:sz w:val="23"/>
          <w:szCs w:val="23"/>
        </w:rPr>
        <w:t>Students who are homeless or in foster care.</w:t>
      </w:r>
    </w:p>
    <w:p w14:paraId="0A7DCBF7" w14:textId="3DAF3C23" w:rsidR="00785AF4" w:rsidRPr="000D5C5B" w:rsidRDefault="00785AF4" w:rsidP="00785AF4">
      <w:pPr>
        <w:pStyle w:val="ListParagraph"/>
        <w:numPr>
          <w:ilvl w:val="0"/>
          <w:numId w:val="1"/>
        </w:numPr>
        <w:rPr>
          <w:sz w:val="23"/>
          <w:szCs w:val="23"/>
        </w:rPr>
      </w:pPr>
      <w:r w:rsidRPr="000D5C5B">
        <w:rPr>
          <w:sz w:val="23"/>
          <w:szCs w:val="23"/>
        </w:rPr>
        <w:t>Children with disabilities.</w:t>
      </w:r>
    </w:p>
    <w:p w14:paraId="17068618" w14:textId="7915AADC" w:rsidR="00785AF4" w:rsidRPr="000D5C5B" w:rsidRDefault="00785AF4" w:rsidP="00785AF4">
      <w:pPr>
        <w:pStyle w:val="ListParagraph"/>
        <w:numPr>
          <w:ilvl w:val="0"/>
          <w:numId w:val="1"/>
        </w:numPr>
        <w:rPr>
          <w:sz w:val="23"/>
          <w:szCs w:val="23"/>
        </w:rPr>
      </w:pPr>
      <w:r w:rsidRPr="000D5C5B">
        <w:rPr>
          <w:sz w:val="23"/>
          <w:szCs w:val="23"/>
        </w:rPr>
        <w:t>Students with limited English proficiency.</w:t>
      </w:r>
    </w:p>
    <w:p w14:paraId="1547E3A8" w14:textId="6EC286A0" w:rsidR="00785AF4" w:rsidRPr="000D5C5B" w:rsidRDefault="00785AF4" w:rsidP="00785AF4">
      <w:pPr>
        <w:pStyle w:val="ListParagraph"/>
        <w:numPr>
          <w:ilvl w:val="0"/>
          <w:numId w:val="1"/>
        </w:numPr>
        <w:rPr>
          <w:sz w:val="23"/>
          <w:szCs w:val="23"/>
        </w:rPr>
      </w:pPr>
      <w:r w:rsidRPr="000D5C5B">
        <w:rPr>
          <w:sz w:val="23"/>
          <w:szCs w:val="23"/>
        </w:rPr>
        <w:t>At-risk students.</w:t>
      </w:r>
    </w:p>
    <w:p w14:paraId="37B3A52F" w14:textId="58726AAC" w:rsidR="00785AF4" w:rsidRPr="000D5C5B" w:rsidRDefault="00785AF4" w:rsidP="00785AF4">
      <w:pPr>
        <w:rPr>
          <w:sz w:val="23"/>
          <w:szCs w:val="23"/>
        </w:rPr>
      </w:pPr>
    </w:p>
    <w:p w14:paraId="2CF53AEB" w14:textId="18127CF4" w:rsidR="006D6905" w:rsidRPr="000D5C5B" w:rsidRDefault="006D6905" w:rsidP="00785AF4">
      <w:pPr>
        <w:rPr>
          <w:sz w:val="23"/>
          <w:szCs w:val="23"/>
        </w:rPr>
      </w:pPr>
      <w:r w:rsidRPr="000D5C5B">
        <w:rPr>
          <w:b/>
          <w:bCs/>
          <w:sz w:val="23"/>
          <w:szCs w:val="23"/>
        </w:rPr>
        <w:t>Twenty-six states</w:t>
      </w:r>
      <w:r w:rsidRPr="000D5C5B">
        <w:rPr>
          <w:sz w:val="23"/>
          <w:szCs w:val="23"/>
        </w:rPr>
        <w:t xml:space="preserve"> </w:t>
      </w:r>
      <w:r w:rsidR="001A7182">
        <w:rPr>
          <w:sz w:val="23"/>
          <w:szCs w:val="23"/>
        </w:rPr>
        <w:t xml:space="preserve">allow </w:t>
      </w:r>
      <w:r w:rsidRPr="000D5C5B">
        <w:rPr>
          <w:sz w:val="23"/>
          <w:szCs w:val="23"/>
        </w:rPr>
        <w:t>weighted lotteries</w:t>
      </w:r>
      <w:r w:rsidR="001A7182">
        <w:rPr>
          <w:sz w:val="23"/>
          <w:szCs w:val="23"/>
        </w:rPr>
        <w:t xml:space="preserve">, and at least 11 do so through statute. Idaho’s bill is modelled after Utah’s law. </w:t>
      </w:r>
    </w:p>
    <w:p w14:paraId="2ED4A5D8" w14:textId="77777777" w:rsidR="006D6905" w:rsidRPr="000D5C5B" w:rsidRDefault="006D6905">
      <w:pPr>
        <w:rPr>
          <w:sz w:val="23"/>
          <w:szCs w:val="23"/>
        </w:rPr>
      </w:pPr>
    </w:p>
    <w:p w14:paraId="28385405" w14:textId="53446969" w:rsidR="008C4B11" w:rsidRPr="000D5C5B" w:rsidRDefault="008C4B11">
      <w:pPr>
        <w:rPr>
          <w:b/>
          <w:bCs/>
          <w:sz w:val="23"/>
          <w:szCs w:val="23"/>
        </w:rPr>
      </w:pPr>
      <w:r w:rsidRPr="000D5C5B">
        <w:rPr>
          <w:b/>
          <w:bCs/>
          <w:sz w:val="23"/>
          <w:szCs w:val="23"/>
        </w:rPr>
        <w:t>Why Is HB512 Needed</w:t>
      </w:r>
      <w:r w:rsidR="00785AF4" w:rsidRPr="000D5C5B">
        <w:rPr>
          <w:b/>
          <w:bCs/>
          <w:sz w:val="23"/>
          <w:szCs w:val="23"/>
        </w:rPr>
        <w:t>?</w:t>
      </w:r>
    </w:p>
    <w:p w14:paraId="028CCDDF" w14:textId="7CAD8F40" w:rsidR="00785AF4" w:rsidRPr="000D5C5B" w:rsidRDefault="006D6905">
      <w:pPr>
        <w:rPr>
          <w:sz w:val="23"/>
          <w:szCs w:val="23"/>
        </w:rPr>
      </w:pPr>
      <w:r w:rsidRPr="000D5C5B">
        <w:rPr>
          <w:sz w:val="23"/>
          <w:szCs w:val="23"/>
        </w:rPr>
        <w:t>This is an “</w:t>
      </w:r>
      <w:r w:rsidRPr="000D5C5B">
        <w:rPr>
          <w:b/>
          <w:bCs/>
          <w:sz w:val="23"/>
          <w:szCs w:val="23"/>
        </w:rPr>
        <w:t>academic achievement gap closing</w:t>
      </w:r>
      <w:r w:rsidRPr="000D5C5B">
        <w:rPr>
          <w:sz w:val="23"/>
          <w:szCs w:val="23"/>
        </w:rPr>
        <w:t xml:space="preserve">” bill. Idaho’s starkest educational challenge is its educational achievement gaps. </w:t>
      </w:r>
      <w:r w:rsidR="003D7936" w:rsidRPr="000D5C5B">
        <w:rPr>
          <w:sz w:val="23"/>
          <w:szCs w:val="23"/>
        </w:rPr>
        <w:t>In 2019, according to NAEP Data (The Nation’s Report Card) Idaho students who lived below the federal poverty level had an average score in 8</w:t>
      </w:r>
      <w:r w:rsidR="003D7936" w:rsidRPr="000D5C5B">
        <w:rPr>
          <w:sz w:val="23"/>
          <w:szCs w:val="23"/>
          <w:vertAlign w:val="superscript"/>
        </w:rPr>
        <w:t>th</w:t>
      </w:r>
      <w:r w:rsidR="003D7936" w:rsidRPr="000D5C5B">
        <w:rPr>
          <w:sz w:val="23"/>
          <w:szCs w:val="23"/>
        </w:rPr>
        <w:t xml:space="preserve"> grade reading that was 21 points lower than that for students who were not in poverty. This performance gap has almost doubled since 2002. In 8</w:t>
      </w:r>
      <w:r w:rsidR="003D7936" w:rsidRPr="000D5C5B">
        <w:rPr>
          <w:sz w:val="23"/>
          <w:szCs w:val="23"/>
          <w:vertAlign w:val="superscript"/>
        </w:rPr>
        <w:t>th</w:t>
      </w:r>
      <w:r w:rsidR="003D7936" w:rsidRPr="000D5C5B">
        <w:rPr>
          <w:sz w:val="23"/>
          <w:szCs w:val="23"/>
        </w:rPr>
        <w:t xml:space="preserve"> grade math the results are even worse. In 2019, Idaho students who lived below the federal poverty level had an average score that was 25 points lower than that for students who were not in poverty. </w:t>
      </w:r>
      <w:r w:rsidR="007774C3" w:rsidRPr="000D5C5B">
        <w:rPr>
          <w:sz w:val="23"/>
          <w:szCs w:val="23"/>
        </w:rPr>
        <w:t>This performance gap has also widened since 2000.</w:t>
      </w:r>
      <w:r w:rsidR="00105C38">
        <w:rPr>
          <w:rStyle w:val="FootnoteReference"/>
          <w:sz w:val="23"/>
          <w:szCs w:val="23"/>
        </w:rPr>
        <w:footnoteReference w:id="1"/>
      </w:r>
    </w:p>
    <w:p w14:paraId="11610DED" w14:textId="12E49E54" w:rsidR="007774C3" w:rsidRPr="000D5C5B" w:rsidRDefault="007774C3">
      <w:pPr>
        <w:rPr>
          <w:sz w:val="23"/>
          <w:szCs w:val="23"/>
        </w:rPr>
      </w:pPr>
    </w:p>
    <w:p w14:paraId="679AACFE" w14:textId="0850913B" w:rsidR="00145567" w:rsidRPr="000D5C5B" w:rsidRDefault="00145567">
      <w:pPr>
        <w:rPr>
          <w:sz w:val="23"/>
          <w:szCs w:val="23"/>
        </w:rPr>
      </w:pPr>
      <w:r w:rsidRPr="000D5C5B">
        <w:rPr>
          <w:sz w:val="23"/>
          <w:szCs w:val="23"/>
        </w:rPr>
        <w:t xml:space="preserve">Similar gaps persist for students who are homeless or in foster care, students with disabilities and for students who are at-risk and or limited English proficient. </w:t>
      </w:r>
    </w:p>
    <w:p w14:paraId="15E0325E" w14:textId="54F900E3" w:rsidR="00145567" w:rsidRPr="000D5C5B" w:rsidRDefault="00145567">
      <w:pPr>
        <w:rPr>
          <w:sz w:val="23"/>
          <w:szCs w:val="23"/>
        </w:rPr>
      </w:pPr>
    </w:p>
    <w:p w14:paraId="289B134D" w14:textId="00343400" w:rsidR="000D5C5B" w:rsidRPr="000D5C5B" w:rsidRDefault="000C474B">
      <w:pPr>
        <w:rPr>
          <w:sz w:val="23"/>
          <w:szCs w:val="23"/>
        </w:rPr>
      </w:pPr>
      <w:r>
        <w:rPr>
          <w:sz w:val="23"/>
          <w:szCs w:val="23"/>
        </w:rPr>
        <w:t xml:space="preserve">To close our achievement gaps, we must look for ways to increase opportunities for struggling students to attend our state’s higher performing schools. </w:t>
      </w:r>
      <w:r w:rsidR="00145567" w:rsidRPr="000D5C5B">
        <w:rPr>
          <w:sz w:val="23"/>
          <w:szCs w:val="23"/>
        </w:rPr>
        <w:t xml:space="preserve">Idaho students living in poverty who attend a public charter school do better in both English Language Arts and in math </w:t>
      </w:r>
      <w:r w:rsidR="00CB778A">
        <w:rPr>
          <w:sz w:val="23"/>
          <w:szCs w:val="23"/>
        </w:rPr>
        <w:t xml:space="preserve">on the ISAT </w:t>
      </w:r>
      <w:r w:rsidR="00145567" w:rsidRPr="000D5C5B">
        <w:rPr>
          <w:sz w:val="23"/>
          <w:szCs w:val="23"/>
        </w:rPr>
        <w:t>tha</w:t>
      </w:r>
      <w:r w:rsidR="00CB778A">
        <w:rPr>
          <w:sz w:val="23"/>
          <w:szCs w:val="23"/>
        </w:rPr>
        <w:t>n</w:t>
      </w:r>
      <w:r w:rsidR="00145567" w:rsidRPr="000D5C5B">
        <w:rPr>
          <w:sz w:val="23"/>
          <w:szCs w:val="23"/>
        </w:rPr>
        <w:t xml:space="preserve"> their peers in traditional public schools. This is true in both proficiency and </w:t>
      </w:r>
      <w:r w:rsidR="00CB778A">
        <w:rPr>
          <w:sz w:val="23"/>
          <w:szCs w:val="23"/>
        </w:rPr>
        <w:t>growth</w:t>
      </w:r>
      <w:r w:rsidR="00145567" w:rsidRPr="000D5C5B">
        <w:rPr>
          <w:sz w:val="23"/>
          <w:szCs w:val="23"/>
        </w:rPr>
        <w:t xml:space="preserve">. </w:t>
      </w:r>
      <w:r w:rsidR="000D5C5B" w:rsidRPr="000D5C5B">
        <w:rPr>
          <w:sz w:val="23"/>
          <w:szCs w:val="23"/>
        </w:rPr>
        <w:t>See Table 1</w:t>
      </w:r>
      <w:r w:rsidR="00105C38">
        <w:rPr>
          <w:sz w:val="23"/>
          <w:szCs w:val="23"/>
        </w:rPr>
        <w:t xml:space="preserve"> on the following page.</w:t>
      </w:r>
      <w:r w:rsidR="000D5C5B" w:rsidRPr="000D5C5B">
        <w:rPr>
          <w:sz w:val="23"/>
          <w:szCs w:val="23"/>
        </w:rPr>
        <w:t xml:space="preserve">  </w:t>
      </w:r>
    </w:p>
    <w:p w14:paraId="02959C3F" w14:textId="77777777" w:rsidR="00737DDA" w:rsidRDefault="00737DDA">
      <w:pPr>
        <w:rPr>
          <w:b/>
          <w:bCs/>
          <w:sz w:val="23"/>
          <w:szCs w:val="23"/>
        </w:rPr>
      </w:pPr>
    </w:p>
    <w:p w14:paraId="53D4B108" w14:textId="77777777" w:rsidR="00791166" w:rsidRDefault="00791166">
      <w:pPr>
        <w:rPr>
          <w:b/>
          <w:bCs/>
          <w:sz w:val="23"/>
          <w:szCs w:val="23"/>
        </w:rPr>
      </w:pPr>
      <w:r>
        <w:rPr>
          <w:b/>
          <w:bCs/>
          <w:sz w:val="23"/>
          <w:szCs w:val="23"/>
        </w:rPr>
        <w:br w:type="page"/>
      </w:r>
    </w:p>
    <w:p w14:paraId="70DD7A34" w14:textId="3B0898A4" w:rsidR="000D5C5B" w:rsidRPr="000D5C5B" w:rsidRDefault="000D5C5B">
      <w:pPr>
        <w:rPr>
          <w:b/>
          <w:bCs/>
          <w:sz w:val="23"/>
          <w:szCs w:val="23"/>
        </w:rPr>
      </w:pPr>
      <w:r w:rsidRPr="000D5C5B">
        <w:rPr>
          <w:b/>
          <w:bCs/>
          <w:sz w:val="23"/>
          <w:szCs w:val="23"/>
        </w:rPr>
        <w:lastRenderedPageBreak/>
        <w:t>Table 1: Performance of Students in Poverty by All State Charter Students &amp; All Students Statewide</w:t>
      </w:r>
      <w:r w:rsidR="00CB778A">
        <w:rPr>
          <w:b/>
          <w:bCs/>
          <w:sz w:val="23"/>
          <w:szCs w:val="23"/>
        </w:rPr>
        <w:t xml:space="preserve"> (2018-19)</w:t>
      </w:r>
    </w:p>
    <w:tbl>
      <w:tblPr>
        <w:tblStyle w:val="TableGrid"/>
        <w:tblW w:w="0" w:type="auto"/>
        <w:tblLook w:val="04A0" w:firstRow="1" w:lastRow="0" w:firstColumn="1" w:lastColumn="0" w:noHBand="0" w:noVBand="1"/>
      </w:tblPr>
      <w:tblGrid>
        <w:gridCol w:w="4585"/>
        <w:gridCol w:w="2160"/>
        <w:gridCol w:w="2430"/>
      </w:tblGrid>
      <w:tr w:rsidR="00CB778A" w14:paraId="4F066267" w14:textId="77777777" w:rsidTr="00CB778A">
        <w:tc>
          <w:tcPr>
            <w:tcW w:w="4585" w:type="dxa"/>
            <w:shd w:val="clear" w:color="auto" w:fill="4472C4" w:themeFill="accent1"/>
          </w:tcPr>
          <w:p w14:paraId="6F30178B" w14:textId="77777777" w:rsidR="00CB778A" w:rsidRPr="00CB778A" w:rsidRDefault="00CB778A">
            <w:pPr>
              <w:rPr>
                <w:color w:val="FFFFFF" w:themeColor="background1"/>
                <w:sz w:val="23"/>
                <w:szCs w:val="23"/>
              </w:rPr>
            </w:pPr>
          </w:p>
        </w:tc>
        <w:tc>
          <w:tcPr>
            <w:tcW w:w="2160" w:type="dxa"/>
            <w:shd w:val="clear" w:color="auto" w:fill="4472C4" w:themeFill="accent1"/>
          </w:tcPr>
          <w:p w14:paraId="23042C1B" w14:textId="1A8DF6FD" w:rsidR="00CB778A" w:rsidRPr="00CB778A" w:rsidRDefault="00CB778A" w:rsidP="00CB778A">
            <w:pPr>
              <w:jc w:val="center"/>
              <w:rPr>
                <w:color w:val="FFFFFF" w:themeColor="background1"/>
                <w:sz w:val="23"/>
                <w:szCs w:val="23"/>
              </w:rPr>
            </w:pPr>
            <w:r w:rsidRPr="00CB778A">
              <w:rPr>
                <w:color w:val="FFFFFF" w:themeColor="background1"/>
                <w:sz w:val="23"/>
                <w:szCs w:val="23"/>
              </w:rPr>
              <w:t xml:space="preserve">All </w:t>
            </w:r>
            <w:r w:rsidR="00F34FE5">
              <w:rPr>
                <w:color w:val="FFFFFF" w:themeColor="background1"/>
                <w:sz w:val="23"/>
                <w:szCs w:val="23"/>
              </w:rPr>
              <w:t xml:space="preserve">Public </w:t>
            </w:r>
            <w:r w:rsidRPr="00CB778A">
              <w:rPr>
                <w:color w:val="FFFFFF" w:themeColor="background1"/>
                <w:sz w:val="23"/>
                <w:szCs w:val="23"/>
              </w:rPr>
              <w:t>Charter</w:t>
            </w:r>
            <w:r w:rsidR="00F34FE5">
              <w:rPr>
                <w:color w:val="FFFFFF" w:themeColor="background1"/>
                <w:sz w:val="23"/>
                <w:szCs w:val="23"/>
              </w:rPr>
              <w:t>s</w:t>
            </w:r>
          </w:p>
        </w:tc>
        <w:tc>
          <w:tcPr>
            <w:tcW w:w="2430" w:type="dxa"/>
            <w:shd w:val="clear" w:color="auto" w:fill="4472C4" w:themeFill="accent1"/>
          </w:tcPr>
          <w:p w14:paraId="721CBDFB" w14:textId="749DA5D2" w:rsidR="00CB778A" w:rsidRPr="00CB778A" w:rsidRDefault="00CB778A" w:rsidP="00CB778A">
            <w:pPr>
              <w:jc w:val="center"/>
              <w:rPr>
                <w:color w:val="FFFFFF" w:themeColor="background1"/>
                <w:sz w:val="23"/>
                <w:szCs w:val="23"/>
              </w:rPr>
            </w:pPr>
            <w:r w:rsidRPr="00CB778A">
              <w:rPr>
                <w:color w:val="FFFFFF" w:themeColor="background1"/>
                <w:sz w:val="23"/>
                <w:szCs w:val="23"/>
              </w:rPr>
              <w:t>All State Public Schools</w:t>
            </w:r>
          </w:p>
        </w:tc>
      </w:tr>
      <w:tr w:rsidR="00CB778A" w14:paraId="0897E871" w14:textId="77777777" w:rsidTr="00CB778A">
        <w:tc>
          <w:tcPr>
            <w:tcW w:w="4585" w:type="dxa"/>
          </w:tcPr>
          <w:p w14:paraId="42F9F311" w14:textId="6994D1A8" w:rsidR="00CB778A" w:rsidRPr="00B85EC6" w:rsidRDefault="00CB778A">
            <w:pPr>
              <w:rPr>
                <w:sz w:val="21"/>
                <w:szCs w:val="21"/>
              </w:rPr>
            </w:pPr>
            <w:r w:rsidRPr="00B85EC6">
              <w:rPr>
                <w:sz w:val="21"/>
                <w:szCs w:val="21"/>
              </w:rPr>
              <w:t>Share Proficient ELA</w:t>
            </w:r>
          </w:p>
        </w:tc>
        <w:tc>
          <w:tcPr>
            <w:tcW w:w="2160" w:type="dxa"/>
          </w:tcPr>
          <w:p w14:paraId="09EEB15D" w14:textId="7DFDF6B1" w:rsidR="00CB778A" w:rsidRPr="00B85EC6" w:rsidRDefault="00CB778A">
            <w:pPr>
              <w:rPr>
                <w:sz w:val="21"/>
                <w:szCs w:val="21"/>
              </w:rPr>
            </w:pPr>
            <w:r w:rsidRPr="00B85EC6">
              <w:rPr>
                <w:sz w:val="21"/>
                <w:szCs w:val="21"/>
              </w:rPr>
              <w:t>50%</w:t>
            </w:r>
          </w:p>
        </w:tc>
        <w:tc>
          <w:tcPr>
            <w:tcW w:w="2430" w:type="dxa"/>
          </w:tcPr>
          <w:p w14:paraId="2516FCA0" w14:textId="67CAFD6F" w:rsidR="00CB778A" w:rsidRPr="00B85EC6" w:rsidRDefault="00CB778A">
            <w:pPr>
              <w:rPr>
                <w:sz w:val="21"/>
                <w:szCs w:val="21"/>
              </w:rPr>
            </w:pPr>
            <w:r w:rsidRPr="00B85EC6">
              <w:rPr>
                <w:sz w:val="21"/>
                <w:szCs w:val="21"/>
              </w:rPr>
              <w:t>42%</w:t>
            </w:r>
          </w:p>
        </w:tc>
      </w:tr>
      <w:tr w:rsidR="00CB778A" w14:paraId="43D2B2F4" w14:textId="77777777" w:rsidTr="00CB778A">
        <w:tc>
          <w:tcPr>
            <w:tcW w:w="4585" w:type="dxa"/>
          </w:tcPr>
          <w:p w14:paraId="46BCF684" w14:textId="3778CF16" w:rsidR="00CB778A" w:rsidRPr="00B85EC6" w:rsidRDefault="00CB778A">
            <w:pPr>
              <w:rPr>
                <w:sz w:val="21"/>
                <w:szCs w:val="21"/>
              </w:rPr>
            </w:pPr>
            <w:r w:rsidRPr="00B85EC6">
              <w:rPr>
                <w:sz w:val="21"/>
                <w:szCs w:val="21"/>
              </w:rPr>
              <w:t>Share Proficient Math</w:t>
            </w:r>
          </w:p>
        </w:tc>
        <w:tc>
          <w:tcPr>
            <w:tcW w:w="2160" w:type="dxa"/>
          </w:tcPr>
          <w:p w14:paraId="5A49FA05" w14:textId="6D2551D5" w:rsidR="00CB778A" w:rsidRPr="00B85EC6" w:rsidRDefault="00CB778A">
            <w:pPr>
              <w:rPr>
                <w:sz w:val="21"/>
                <w:szCs w:val="21"/>
              </w:rPr>
            </w:pPr>
            <w:r w:rsidRPr="00B85EC6">
              <w:rPr>
                <w:sz w:val="21"/>
                <w:szCs w:val="21"/>
              </w:rPr>
              <w:t>39%</w:t>
            </w:r>
          </w:p>
        </w:tc>
        <w:tc>
          <w:tcPr>
            <w:tcW w:w="2430" w:type="dxa"/>
          </w:tcPr>
          <w:p w14:paraId="63098A60" w14:textId="3C0CA5C9" w:rsidR="00CB778A" w:rsidRPr="00B85EC6" w:rsidRDefault="00CB778A">
            <w:pPr>
              <w:rPr>
                <w:sz w:val="21"/>
                <w:szCs w:val="21"/>
              </w:rPr>
            </w:pPr>
            <w:r w:rsidRPr="00B85EC6">
              <w:rPr>
                <w:sz w:val="21"/>
                <w:szCs w:val="21"/>
              </w:rPr>
              <w:t>32%</w:t>
            </w:r>
          </w:p>
        </w:tc>
      </w:tr>
      <w:tr w:rsidR="00CB778A" w14:paraId="2D50914E" w14:textId="77777777" w:rsidTr="00CB778A">
        <w:tc>
          <w:tcPr>
            <w:tcW w:w="4585" w:type="dxa"/>
          </w:tcPr>
          <w:p w14:paraId="05280905" w14:textId="4DCACE3D" w:rsidR="00CB778A" w:rsidRPr="00B85EC6" w:rsidRDefault="00CB778A">
            <w:pPr>
              <w:rPr>
                <w:sz w:val="21"/>
                <w:szCs w:val="21"/>
              </w:rPr>
            </w:pPr>
            <w:r w:rsidRPr="00B85EC6">
              <w:rPr>
                <w:sz w:val="21"/>
                <w:szCs w:val="21"/>
              </w:rPr>
              <w:t>Share Making Adequate Growth ELA</w:t>
            </w:r>
          </w:p>
        </w:tc>
        <w:tc>
          <w:tcPr>
            <w:tcW w:w="2160" w:type="dxa"/>
          </w:tcPr>
          <w:p w14:paraId="6BEEC5C7" w14:textId="12B923F1" w:rsidR="00CB778A" w:rsidRPr="00B85EC6" w:rsidRDefault="00CB778A">
            <w:pPr>
              <w:rPr>
                <w:sz w:val="21"/>
                <w:szCs w:val="21"/>
              </w:rPr>
            </w:pPr>
            <w:r w:rsidRPr="00B85EC6">
              <w:rPr>
                <w:sz w:val="21"/>
                <w:szCs w:val="21"/>
              </w:rPr>
              <w:t>62%</w:t>
            </w:r>
          </w:p>
        </w:tc>
        <w:tc>
          <w:tcPr>
            <w:tcW w:w="2430" w:type="dxa"/>
          </w:tcPr>
          <w:p w14:paraId="42264FA4" w14:textId="7CF93630" w:rsidR="00CB778A" w:rsidRPr="00B85EC6" w:rsidRDefault="00CB778A">
            <w:pPr>
              <w:rPr>
                <w:sz w:val="21"/>
                <w:szCs w:val="21"/>
              </w:rPr>
            </w:pPr>
            <w:r w:rsidRPr="00B85EC6">
              <w:rPr>
                <w:sz w:val="21"/>
                <w:szCs w:val="21"/>
              </w:rPr>
              <w:t>56%</w:t>
            </w:r>
          </w:p>
        </w:tc>
      </w:tr>
      <w:tr w:rsidR="00CB778A" w14:paraId="793A0782" w14:textId="77777777" w:rsidTr="00CB778A">
        <w:tc>
          <w:tcPr>
            <w:tcW w:w="4585" w:type="dxa"/>
          </w:tcPr>
          <w:p w14:paraId="06E33322" w14:textId="610C9A3F" w:rsidR="00CB778A" w:rsidRPr="00B85EC6" w:rsidRDefault="00CB778A">
            <w:pPr>
              <w:rPr>
                <w:sz w:val="21"/>
                <w:szCs w:val="21"/>
              </w:rPr>
            </w:pPr>
            <w:r w:rsidRPr="00B85EC6">
              <w:rPr>
                <w:sz w:val="21"/>
                <w:szCs w:val="21"/>
              </w:rPr>
              <w:t>Share Making Adequate Growth Math</w:t>
            </w:r>
          </w:p>
        </w:tc>
        <w:tc>
          <w:tcPr>
            <w:tcW w:w="2160" w:type="dxa"/>
          </w:tcPr>
          <w:p w14:paraId="552D5201" w14:textId="7C2A27A6" w:rsidR="00CB778A" w:rsidRPr="00B85EC6" w:rsidRDefault="00CB778A">
            <w:pPr>
              <w:rPr>
                <w:sz w:val="21"/>
                <w:szCs w:val="21"/>
              </w:rPr>
            </w:pPr>
            <w:r w:rsidRPr="00B85EC6">
              <w:rPr>
                <w:sz w:val="21"/>
                <w:szCs w:val="21"/>
              </w:rPr>
              <w:t>49%</w:t>
            </w:r>
          </w:p>
        </w:tc>
        <w:tc>
          <w:tcPr>
            <w:tcW w:w="2430" w:type="dxa"/>
          </w:tcPr>
          <w:p w14:paraId="46AFC21C" w14:textId="2ECE9083" w:rsidR="00CB778A" w:rsidRPr="00B85EC6" w:rsidRDefault="00CB778A">
            <w:pPr>
              <w:rPr>
                <w:sz w:val="21"/>
                <w:szCs w:val="21"/>
              </w:rPr>
            </w:pPr>
            <w:r w:rsidRPr="00B85EC6">
              <w:rPr>
                <w:sz w:val="21"/>
                <w:szCs w:val="21"/>
              </w:rPr>
              <w:t>44%</w:t>
            </w:r>
          </w:p>
        </w:tc>
      </w:tr>
    </w:tbl>
    <w:p w14:paraId="188C5866" w14:textId="06ED5F0D" w:rsidR="000D5C5B" w:rsidRPr="00CB778A" w:rsidRDefault="00CB778A">
      <w:pPr>
        <w:rPr>
          <w:i/>
          <w:iCs/>
          <w:sz w:val="20"/>
          <w:szCs w:val="20"/>
        </w:rPr>
      </w:pPr>
      <w:r w:rsidRPr="00CB778A">
        <w:rPr>
          <w:i/>
          <w:iCs/>
          <w:sz w:val="20"/>
          <w:szCs w:val="20"/>
        </w:rPr>
        <w:t>Data come from Idaho State Board of Education</w:t>
      </w:r>
    </w:p>
    <w:p w14:paraId="2506CFA7" w14:textId="77777777" w:rsidR="000D5C5B" w:rsidRPr="002D6B7E" w:rsidRDefault="000D5C5B">
      <w:pPr>
        <w:rPr>
          <w:sz w:val="23"/>
          <w:szCs w:val="23"/>
        </w:rPr>
      </w:pPr>
    </w:p>
    <w:p w14:paraId="64AA81CD" w14:textId="6BE2D695" w:rsidR="00F34FE5" w:rsidRPr="002D6B7E" w:rsidRDefault="00145567" w:rsidP="00F34FE5">
      <w:pPr>
        <w:rPr>
          <w:b/>
          <w:bCs/>
          <w:sz w:val="23"/>
          <w:szCs w:val="23"/>
        </w:rPr>
      </w:pPr>
      <w:r w:rsidRPr="002D6B7E">
        <w:rPr>
          <w:b/>
          <w:bCs/>
          <w:sz w:val="23"/>
          <w:szCs w:val="23"/>
        </w:rPr>
        <w:t>HB512 Helps Idaho Meet</w:t>
      </w:r>
      <w:r w:rsidR="00F34FE5" w:rsidRPr="002D6B7E">
        <w:rPr>
          <w:b/>
          <w:bCs/>
          <w:sz w:val="23"/>
          <w:szCs w:val="23"/>
        </w:rPr>
        <w:t xml:space="preserve"> Its ESSA Plan</w:t>
      </w:r>
    </w:p>
    <w:p w14:paraId="13E3C20C" w14:textId="6C0357A5" w:rsidR="00F34FE5" w:rsidRPr="002D6B7E" w:rsidRDefault="00F34FE5" w:rsidP="00F34FE5">
      <w:pPr>
        <w:rPr>
          <w:sz w:val="23"/>
          <w:szCs w:val="23"/>
        </w:rPr>
      </w:pPr>
      <w:r w:rsidRPr="002D6B7E">
        <w:rPr>
          <w:sz w:val="23"/>
          <w:szCs w:val="23"/>
        </w:rPr>
        <w:t>Idaho’s ESSA plan, as approved by the U.S. Department of Education in 2018, sets several ambitious five-year goals including:</w:t>
      </w:r>
    </w:p>
    <w:p w14:paraId="1AE1FB30" w14:textId="77777777" w:rsidR="00F34FE5" w:rsidRPr="002D6B7E" w:rsidRDefault="00F34FE5" w:rsidP="00F34FE5">
      <w:pPr>
        <w:pStyle w:val="ListParagraph"/>
        <w:numPr>
          <w:ilvl w:val="0"/>
          <w:numId w:val="2"/>
        </w:numPr>
        <w:rPr>
          <w:sz w:val="23"/>
          <w:szCs w:val="23"/>
        </w:rPr>
      </w:pPr>
      <w:r w:rsidRPr="002D6B7E">
        <w:rPr>
          <w:sz w:val="23"/>
          <w:szCs w:val="23"/>
        </w:rPr>
        <w:t>Decreasing the number of students who are not proficient at English language arts and math by one third.</w:t>
      </w:r>
    </w:p>
    <w:p w14:paraId="3875BF90" w14:textId="7372A63D" w:rsidR="00F34FE5" w:rsidRPr="002D6B7E" w:rsidRDefault="00F34FE5" w:rsidP="00F34FE5">
      <w:pPr>
        <w:pStyle w:val="ListParagraph"/>
        <w:numPr>
          <w:ilvl w:val="0"/>
          <w:numId w:val="2"/>
        </w:numPr>
        <w:rPr>
          <w:sz w:val="23"/>
          <w:szCs w:val="23"/>
        </w:rPr>
      </w:pPr>
      <w:r w:rsidRPr="002D6B7E">
        <w:rPr>
          <w:sz w:val="23"/>
          <w:szCs w:val="23"/>
        </w:rPr>
        <w:t>Decreasing the number of students who are not making progress toward English language proficiency by one third.</w:t>
      </w:r>
    </w:p>
    <w:p w14:paraId="29AC2A6B" w14:textId="77777777" w:rsidR="00B85EC6" w:rsidRPr="002D6B7E" w:rsidRDefault="00B85EC6" w:rsidP="00F34FE5">
      <w:pPr>
        <w:rPr>
          <w:sz w:val="23"/>
          <w:szCs w:val="23"/>
        </w:rPr>
      </w:pPr>
    </w:p>
    <w:p w14:paraId="5145987C" w14:textId="72C27916" w:rsidR="00F34FE5" w:rsidRPr="002D6B7E" w:rsidRDefault="00F34FE5" w:rsidP="00F34FE5">
      <w:pPr>
        <w:rPr>
          <w:sz w:val="23"/>
          <w:szCs w:val="23"/>
        </w:rPr>
      </w:pPr>
      <w:r w:rsidRPr="002D6B7E">
        <w:rPr>
          <w:sz w:val="23"/>
          <w:szCs w:val="23"/>
        </w:rPr>
        <w:t>The performance of Idaho’s public charter schools is helping move the needle towards meeting Idaho’s ESSA goals. HB512 will allow charters that are ready, willing and able to serve more students who need better learning options to meet or exceed academic proficiency and growth.</w:t>
      </w:r>
    </w:p>
    <w:p w14:paraId="0A1F3FE4" w14:textId="784EFA47" w:rsidR="00F34FE5" w:rsidRPr="002D6B7E" w:rsidRDefault="00F34FE5" w:rsidP="00F34FE5">
      <w:pPr>
        <w:rPr>
          <w:sz w:val="23"/>
          <w:szCs w:val="23"/>
        </w:rPr>
      </w:pPr>
    </w:p>
    <w:p w14:paraId="6F4B2F92" w14:textId="77777777" w:rsidR="00F34FE5" w:rsidRPr="002D6B7E" w:rsidRDefault="00F34FE5" w:rsidP="00F34FE5">
      <w:pPr>
        <w:rPr>
          <w:b/>
          <w:bCs/>
          <w:sz w:val="23"/>
          <w:szCs w:val="23"/>
        </w:rPr>
      </w:pPr>
      <w:r w:rsidRPr="002D6B7E">
        <w:rPr>
          <w:b/>
          <w:bCs/>
          <w:sz w:val="23"/>
          <w:szCs w:val="23"/>
        </w:rPr>
        <w:t>HB512 Is Important for Helping Idaho Successfully Implement its federal “Communities of Excellence” Charter School Program Grant</w:t>
      </w:r>
    </w:p>
    <w:p w14:paraId="0722CE0C" w14:textId="5F8C5D30" w:rsidR="005C5713" w:rsidRPr="002D6B7E" w:rsidRDefault="000E6EAC" w:rsidP="00F34FE5">
      <w:pPr>
        <w:rPr>
          <w:sz w:val="23"/>
          <w:szCs w:val="23"/>
        </w:rPr>
      </w:pPr>
      <w:r w:rsidRPr="002D6B7E">
        <w:rPr>
          <w:sz w:val="23"/>
          <w:szCs w:val="23"/>
        </w:rPr>
        <w:t xml:space="preserve">In 2018, Idaho received a competitive Charter School Program </w:t>
      </w:r>
      <w:r w:rsidR="00A10984" w:rsidRPr="002D6B7E">
        <w:rPr>
          <w:sz w:val="23"/>
          <w:szCs w:val="23"/>
        </w:rPr>
        <w:t xml:space="preserve">(CSP) </w:t>
      </w:r>
      <w:r w:rsidRPr="002D6B7E">
        <w:rPr>
          <w:sz w:val="23"/>
          <w:szCs w:val="23"/>
        </w:rPr>
        <w:t xml:space="preserve">Grant from the U.S. Department of Education for $17 million. It was subsequently increased to $22.1 million in 2019. </w:t>
      </w:r>
      <w:r w:rsidR="00A10984" w:rsidRPr="002D6B7E">
        <w:rPr>
          <w:sz w:val="23"/>
          <w:szCs w:val="23"/>
        </w:rPr>
        <w:t xml:space="preserve">Idaho’s “Communities of Excellence” Consortium includes: </w:t>
      </w:r>
      <w:proofErr w:type="spellStart"/>
      <w:r w:rsidR="00A10984" w:rsidRPr="002D6B7E">
        <w:rPr>
          <w:sz w:val="23"/>
          <w:szCs w:val="23"/>
        </w:rPr>
        <w:t>Bluum</w:t>
      </w:r>
      <w:proofErr w:type="spellEnd"/>
      <w:r w:rsidR="00A10984" w:rsidRPr="002D6B7E">
        <w:rPr>
          <w:sz w:val="23"/>
          <w:szCs w:val="23"/>
        </w:rPr>
        <w:t>,</w:t>
      </w:r>
      <w:r w:rsidR="00105C38">
        <w:rPr>
          <w:sz w:val="23"/>
          <w:szCs w:val="23"/>
        </w:rPr>
        <w:t xml:space="preserve"> </w:t>
      </w:r>
      <w:r w:rsidR="00A10984" w:rsidRPr="002D6B7E">
        <w:rPr>
          <w:sz w:val="23"/>
          <w:szCs w:val="23"/>
        </w:rPr>
        <w:t xml:space="preserve">J.A. and Kathryn Albertson Family Foundation, Idaho State Board of Education and Idaho Public Charter School Commission. </w:t>
      </w:r>
    </w:p>
    <w:p w14:paraId="176C651F" w14:textId="77777777" w:rsidR="005C5713" w:rsidRPr="002D6B7E" w:rsidRDefault="005C5713" w:rsidP="00F34FE5">
      <w:pPr>
        <w:rPr>
          <w:sz w:val="23"/>
          <w:szCs w:val="23"/>
        </w:rPr>
      </w:pPr>
    </w:p>
    <w:p w14:paraId="15EEC236" w14:textId="62798755" w:rsidR="00F34FE5" w:rsidRPr="002D6B7E" w:rsidRDefault="00A10984" w:rsidP="00F34FE5">
      <w:pPr>
        <w:rPr>
          <w:sz w:val="23"/>
          <w:szCs w:val="23"/>
        </w:rPr>
      </w:pPr>
      <w:r w:rsidRPr="002D6B7E">
        <w:rPr>
          <w:sz w:val="23"/>
          <w:szCs w:val="23"/>
        </w:rPr>
        <w:t xml:space="preserve">Idaho’s CSP Grant Objectives included: “Increasing the number of quality charter school seats by 8,200 students, </w:t>
      </w:r>
      <w:r w:rsidRPr="002D6B7E">
        <w:rPr>
          <w:i/>
          <w:iCs/>
          <w:sz w:val="23"/>
          <w:szCs w:val="23"/>
        </w:rPr>
        <w:t>especially for our most educationally disadvantaged and rural students</w:t>
      </w:r>
      <w:r w:rsidRPr="002D6B7E">
        <w:rPr>
          <w:sz w:val="23"/>
          <w:szCs w:val="23"/>
        </w:rPr>
        <w:t xml:space="preserve">, through start-up, replication and expansion. </w:t>
      </w:r>
      <w:r w:rsidR="005C5713" w:rsidRPr="002D6B7E">
        <w:rPr>
          <w:sz w:val="23"/>
          <w:szCs w:val="23"/>
        </w:rPr>
        <w:t>So far, this grant has provided $10,383,224 to 11 public charter schools across the state of Idaho to launch or expand 5,270 new school seats.</w:t>
      </w:r>
    </w:p>
    <w:p w14:paraId="6B49C4B5" w14:textId="080C4520" w:rsidR="005C5713" w:rsidRPr="002D6B7E" w:rsidRDefault="005C5713" w:rsidP="00F34FE5">
      <w:pPr>
        <w:rPr>
          <w:sz w:val="23"/>
          <w:szCs w:val="23"/>
        </w:rPr>
      </w:pPr>
    </w:p>
    <w:p w14:paraId="59C4895B" w14:textId="469A7FAA" w:rsidR="005C5713" w:rsidRPr="002D6B7E" w:rsidRDefault="005C5713" w:rsidP="00F34FE5">
      <w:pPr>
        <w:rPr>
          <w:b/>
          <w:bCs/>
          <w:sz w:val="23"/>
          <w:szCs w:val="23"/>
        </w:rPr>
      </w:pPr>
      <w:r w:rsidRPr="002D6B7E">
        <w:rPr>
          <w:b/>
          <w:bCs/>
          <w:sz w:val="23"/>
          <w:szCs w:val="23"/>
        </w:rPr>
        <w:t>HB512 Helps Public Charter Schools Stay True to Their Missions</w:t>
      </w:r>
    </w:p>
    <w:p w14:paraId="4D1F8B40" w14:textId="28EC6758" w:rsidR="00105C38" w:rsidRDefault="005C5713" w:rsidP="00F34FE5">
      <w:pPr>
        <w:rPr>
          <w:sz w:val="23"/>
          <w:szCs w:val="23"/>
        </w:rPr>
      </w:pPr>
      <w:r w:rsidRPr="002D6B7E">
        <w:rPr>
          <w:sz w:val="23"/>
          <w:szCs w:val="23"/>
        </w:rPr>
        <w:t xml:space="preserve">Idaho’s Public Charter Schools deliver results in part because they are mission driven schools. Public Charter Schools are required under state law to have a Performance Certificate that defines clearly the school mission. </w:t>
      </w:r>
      <w:r w:rsidR="00B85EC6" w:rsidRPr="002D6B7E">
        <w:rPr>
          <w:sz w:val="23"/>
          <w:szCs w:val="23"/>
        </w:rPr>
        <w:t>Elevate Academy in Caldwell, for example, has the following mission: “Elevate Academy is a 6</w:t>
      </w:r>
      <w:r w:rsidR="00B85EC6" w:rsidRPr="002D6B7E">
        <w:rPr>
          <w:sz w:val="23"/>
          <w:szCs w:val="23"/>
          <w:vertAlign w:val="superscript"/>
        </w:rPr>
        <w:t>th</w:t>
      </w:r>
      <w:r w:rsidR="00B85EC6" w:rsidRPr="002D6B7E">
        <w:rPr>
          <w:sz w:val="23"/>
          <w:szCs w:val="23"/>
        </w:rPr>
        <w:t>-12</w:t>
      </w:r>
      <w:r w:rsidR="00B85EC6" w:rsidRPr="002D6B7E">
        <w:rPr>
          <w:sz w:val="23"/>
          <w:szCs w:val="23"/>
          <w:vertAlign w:val="superscript"/>
        </w:rPr>
        <w:t>th</w:t>
      </w:r>
      <w:r w:rsidR="00B85EC6" w:rsidRPr="002D6B7E">
        <w:rPr>
          <w:sz w:val="23"/>
          <w:szCs w:val="23"/>
        </w:rPr>
        <w:t xml:space="preserve"> learning environment </w:t>
      </w:r>
      <w:r w:rsidR="00B85EC6" w:rsidRPr="002D6B7E">
        <w:rPr>
          <w:b/>
          <w:bCs/>
          <w:sz w:val="23"/>
          <w:szCs w:val="23"/>
        </w:rPr>
        <w:t>committed to serving at-risk students.</w:t>
      </w:r>
      <w:r w:rsidR="00B85EC6" w:rsidRPr="002D6B7E">
        <w:rPr>
          <w:sz w:val="23"/>
          <w:szCs w:val="23"/>
        </w:rPr>
        <w:t xml:space="preserve"> Through purposeful instruction students will take responsibility for leading their own lives and studying a career track that may include vocational and college paths or a combination thereof. By owning their educational pathways, students will become contributing members of their community and local economy upon graduation.”</w:t>
      </w:r>
    </w:p>
    <w:p w14:paraId="35A86D1C" w14:textId="77777777" w:rsidR="00105C38" w:rsidRPr="00105C38" w:rsidRDefault="00105C38" w:rsidP="00105C38">
      <w:pPr>
        <w:jc w:val="right"/>
        <w:rPr>
          <w:b/>
          <w:bCs/>
          <w:sz w:val="22"/>
          <w:szCs w:val="22"/>
        </w:rPr>
      </w:pPr>
      <w:r w:rsidRPr="00105C38">
        <w:rPr>
          <w:b/>
          <w:bCs/>
          <w:sz w:val="22"/>
          <w:szCs w:val="22"/>
        </w:rPr>
        <w:t>For more information contact:</w:t>
      </w:r>
    </w:p>
    <w:p w14:paraId="2DC4BABE" w14:textId="10EA6A1F" w:rsidR="00105C38" w:rsidRPr="00105C38" w:rsidRDefault="00105C38" w:rsidP="00105C38">
      <w:pPr>
        <w:jc w:val="right"/>
        <w:rPr>
          <w:sz w:val="22"/>
          <w:szCs w:val="22"/>
        </w:rPr>
      </w:pPr>
      <w:r w:rsidRPr="00105C38">
        <w:rPr>
          <w:sz w:val="22"/>
          <w:szCs w:val="22"/>
        </w:rPr>
        <w:t xml:space="preserve">Terry Ryan, </w:t>
      </w:r>
      <w:r w:rsidR="00B5605B">
        <w:rPr>
          <w:sz w:val="22"/>
          <w:szCs w:val="22"/>
        </w:rPr>
        <w:t>Board Chair</w:t>
      </w:r>
    </w:p>
    <w:p w14:paraId="5685ACE9" w14:textId="652540A9" w:rsidR="00105C38" w:rsidRPr="00105C38" w:rsidRDefault="00B5605B" w:rsidP="00105C38">
      <w:pPr>
        <w:jc w:val="right"/>
        <w:rPr>
          <w:sz w:val="22"/>
          <w:szCs w:val="22"/>
        </w:rPr>
      </w:pPr>
      <w:r>
        <w:rPr>
          <w:sz w:val="22"/>
          <w:szCs w:val="22"/>
        </w:rPr>
        <w:t>Idaho Charter School Network</w:t>
      </w:r>
    </w:p>
    <w:p w14:paraId="08E46238" w14:textId="6AD01E6A" w:rsidR="00F34FE5" w:rsidRPr="000C474B" w:rsidRDefault="00521B83" w:rsidP="00105C38">
      <w:pPr>
        <w:jc w:val="right"/>
        <w:rPr>
          <w:sz w:val="23"/>
          <w:szCs w:val="23"/>
        </w:rPr>
      </w:pPr>
      <w:r>
        <w:fldChar w:fldCharType="begin"/>
      </w:r>
      <w:r>
        <w:instrText xml:space="preserve"> HYPERLINK "mailto:tryan@bluum.org" </w:instrText>
      </w:r>
      <w:r>
        <w:fldChar w:fldCharType="separate"/>
      </w:r>
      <w:r w:rsidR="00B5605B">
        <w:rPr>
          <w:rStyle w:val="Hyperlink"/>
          <w:sz w:val="22"/>
          <w:szCs w:val="22"/>
        </w:rPr>
        <w:t>Cell:</w:t>
      </w:r>
      <w:r>
        <w:rPr>
          <w:rStyle w:val="Hyperlink"/>
          <w:sz w:val="22"/>
          <w:szCs w:val="22"/>
        </w:rPr>
        <w:fldChar w:fldCharType="end"/>
      </w:r>
      <w:r w:rsidR="00B5605B">
        <w:rPr>
          <w:rStyle w:val="Hyperlink"/>
          <w:sz w:val="22"/>
          <w:szCs w:val="22"/>
        </w:rPr>
        <w:t xml:space="preserve"> 202-341-4575</w:t>
      </w:r>
      <w:r w:rsidR="00B85EC6" w:rsidRPr="002D6B7E">
        <w:rPr>
          <w:sz w:val="23"/>
          <w:szCs w:val="23"/>
        </w:rPr>
        <w:t xml:space="preserve"> </w:t>
      </w:r>
    </w:p>
    <w:sectPr w:rsidR="00F34FE5" w:rsidRPr="000C474B" w:rsidSect="006D0EF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C2EE" w14:textId="77777777" w:rsidR="00521B83" w:rsidRDefault="00521B83" w:rsidP="000C474B">
      <w:r>
        <w:separator/>
      </w:r>
    </w:p>
  </w:endnote>
  <w:endnote w:type="continuationSeparator" w:id="0">
    <w:p w14:paraId="5804F486" w14:textId="77777777" w:rsidR="00521B83" w:rsidRDefault="00521B83" w:rsidP="000C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AAFB" w14:textId="77777777" w:rsidR="00521B83" w:rsidRDefault="00521B83" w:rsidP="000C474B">
      <w:r>
        <w:separator/>
      </w:r>
    </w:p>
  </w:footnote>
  <w:footnote w:type="continuationSeparator" w:id="0">
    <w:p w14:paraId="074C6DC7" w14:textId="77777777" w:rsidR="00521B83" w:rsidRDefault="00521B83" w:rsidP="000C474B">
      <w:r>
        <w:continuationSeparator/>
      </w:r>
    </w:p>
  </w:footnote>
  <w:footnote w:id="1">
    <w:p w14:paraId="295D8668" w14:textId="02F50ED0" w:rsidR="00105C38" w:rsidRDefault="00105C38">
      <w:pPr>
        <w:pStyle w:val="FootnoteText"/>
      </w:pPr>
      <w:r>
        <w:rPr>
          <w:rStyle w:val="FootnoteReference"/>
        </w:rPr>
        <w:footnoteRef/>
      </w:r>
      <w:r>
        <w:t xml:space="preserve"> </w:t>
      </w:r>
      <w:r w:rsidRPr="000C474B">
        <w:rPr>
          <w:sz w:val="18"/>
          <w:szCs w:val="18"/>
        </w:rPr>
        <w:t xml:space="preserve"> </w:t>
      </w:r>
      <w:hyperlink r:id="rId1" w:history="1">
        <w:r w:rsidRPr="000C474B">
          <w:rPr>
            <w:rStyle w:val="Hyperlink"/>
            <w:sz w:val="18"/>
            <w:szCs w:val="18"/>
          </w:rPr>
          <w:t>https://www.sde.idaho.gov/assessment/naep/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301"/>
    <w:multiLevelType w:val="hybridMultilevel"/>
    <w:tmpl w:val="92A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B70F9"/>
    <w:multiLevelType w:val="hybridMultilevel"/>
    <w:tmpl w:val="614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11"/>
    <w:rsid w:val="000C474B"/>
    <w:rsid w:val="000D5C5B"/>
    <w:rsid w:val="000E6EAC"/>
    <w:rsid w:val="00105C38"/>
    <w:rsid w:val="00145567"/>
    <w:rsid w:val="001A7182"/>
    <w:rsid w:val="002D6B7E"/>
    <w:rsid w:val="00315F3E"/>
    <w:rsid w:val="003D7936"/>
    <w:rsid w:val="00521B83"/>
    <w:rsid w:val="005C5713"/>
    <w:rsid w:val="006D0EF4"/>
    <w:rsid w:val="006D6905"/>
    <w:rsid w:val="00737DDA"/>
    <w:rsid w:val="007774C3"/>
    <w:rsid w:val="00785AF4"/>
    <w:rsid w:val="00791166"/>
    <w:rsid w:val="008763E9"/>
    <w:rsid w:val="008C1B1F"/>
    <w:rsid w:val="008C4B11"/>
    <w:rsid w:val="00A10984"/>
    <w:rsid w:val="00A32618"/>
    <w:rsid w:val="00B5605B"/>
    <w:rsid w:val="00B85EC6"/>
    <w:rsid w:val="00CB778A"/>
    <w:rsid w:val="00D40F92"/>
    <w:rsid w:val="00F3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0F57"/>
  <w15:chartTrackingRefBased/>
  <w15:docId w15:val="{D79F7742-2326-CC47-A6C9-3A183E6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F4"/>
    <w:pPr>
      <w:ind w:left="720"/>
      <w:contextualSpacing/>
    </w:pPr>
  </w:style>
  <w:style w:type="table" w:styleId="TableGrid">
    <w:name w:val="Table Grid"/>
    <w:basedOn w:val="TableNormal"/>
    <w:uiPriority w:val="39"/>
    <w:rsid w:val="000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7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4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C474B"/>
    <w:rPr>
      <w:sz w:val="20"/>
      <w:szCs w:val="20"/>
    </w:rPr>
  </w:style>
  <w:style w:type="character" w:customStyle="1" w:styleId="FootnoteTextChar">
    <w:name w:val="Footnote Text Char"/>
    <w:basedOn w:val="DefaultParagraphFont"/>
    <w:link w:val="FootnoteText"/>
    <w:uiPriority w:val="99"/>
    <w:semiHidden/>
    <w:rsid w:val="000C474B"/>
    <w:rPr>
      <w:sz w:val="20"/>
      <w:szCs w:val="20"/>
    </w:rPr>
  </w:style>
  <w:style w:type="character" w:styleId="FootnoteReference">
    <w:name w:val="footnote reference"/>
    <w:basedOn w:val="DefaultParagraphFont"/>
    <w:uiPriority w:val="99"/>
    <w:semiHidden/>
    <w:unhideWhenUsed/>
    <w:rsid w:val="000C474B"/>
    <w:rPr>
      <w:vertAlign w:val="superscript"/>
    </w:rPr>
  </w:style>
  <w:style w:type="paragraph" w:styleId="EndnoteText">
    <w:name w:val="endnote text"/>
    <w:basedOn w:val="Normal"/>
    <w:link w:val="EndnoteTextChar"/>
    <w:uiPriority w:val="99"/>
    <w:semiHidden/>
    <w:unhideWhenUsed/>
    <w:rsid w:val="000C474B"/>
    <w:rPr>
      <w:sz w:val="20"/>
      <w:szCs w:val="20"/>
    </w:rPr>
  </w:style>
  <w:style w:type="character" w:customStyle="1" w:styleId="EndnoteTextChar">
    <w:name w:val="Endnote Text Char"/>
    <w:basedOn w:val="DefaultParagraphFont"/>
    <w:link w:val="EndnoteText"/>
    <w:uiPriority w:val="99"/>
    <w:semiHidden/>
    <w:rsid w:val="000C474B"/>
    <w:rPr>
      <w:sz w:val="20"/>
      <w:szCs w:val="20"/>
    </w:rPr>
  </w:style>
  <w:style w:type="character" w:styleId="EndnoteReference">
    <w:name w:val="endnote reference"/>
    <w:basedOn w:val="DefaultParagraphFont"/>
    <w:uiPriority w:val="99"/>
    <w:semiHidden/>
    <w:unhideWhenUsed/>
    <w:rsid w:val="000C474B"/>
    <w:rPr>
      <w:vertAlign w:val="superscript"/>
    </w:rPr>
  </w:style>
  <w:style w:type="character" w:styleId="Hyperlink">
    <w:name w:val="Hyperlink"/>
    <w:basedOn w:val="DefaultParagraphFont"/>
    <w:uiPriority w:val="99"/>
    <w:unhideWhenUsed/>
    <w:rsid w:val="000C474B"/>
    <w:rPr>
      <w:color w:val="0563C1" w:themeColor="hyperlink"/>
      <w:u w:val="single"/>
    </w:rPr>
  </w:style>
  <w:style w:type="character" w:styleId="UnresolvedMention">
    <w:name w:val="Unresolved Mention"/>
    <w:basedOn w:val="DefaultParagraphFont"/>
    <w:uiPriority w:val="99"/>
    <w:semiHidden/>
    <w:unhideWhenUsed/>
    <w:rsid w:val="000C474B"/>
    <w:rPr>
      <w:color w:val="605E5C"/>
      <w:shd w:val="clear" w:color="auto" w:fill="E1DFDD"/>
    </w:rPr>
  </w:style>
  <w:style w:type="character" w:styleId="FollowedHyperlink">
    <w:name w:val="FollowedHyperlink"/>
    <w:basedOn w:val="DefaultParagraphFont"/>
    <w:uiPriority w:val="99"/>
    <w:semiHidden/>
    <w:unhideWhenUsed/>
    <w:rsid w:val="00B5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de.idaho.gov/assessment/na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3</cp:revision>
  <cp:lastPrinted>2020-03-02T22:10:00Z</cp:lastPrinted>
  <dcterms:created xsi:type="dcterms:W3CDTF">2020-03-02T22:01:00Z</dcterms:created>
  <dcterms:modified xsi:type="dcterms:W3CDTF">2020-03-02T22:32:00Z</dcterms:modified>
</cp:coreProperties>
</file>