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96E57" w14:textId="77777777" w:rsidR="00031E4A" w:rsidRDefault="00031E4A" w:rsidP="00031E4A">
      <w:pPr>
        <w:rPr>
          <w:color w:val="000000" w:themeColor="text1"/>
          <w:sz w:val="22"/>
        </w:rPr>
      </w:pPr>
      <w:r>
        <w:rPr>
          <w:noProof/>
        </w:rPr>
        <w:drawing>
          <wp:anchor distT="0" distB="0" distL="114300" distR="114300" simplePos="0" relativeHeight="251659264" behindDoc="0" locked="0" layoutInCell="1" allowOverlap="1" wp14:anchorId="30BDA89B" wp14:editId="325D0654">
            <wp:simplePos x="0" y="0"/>
            <wp:positionH relativeFrom="column">
              <wp:posOffset>-629920</wp:posOffset>
            </wp:positionH>
            <wp:positionV relativeFrom="paragraph">
              <wp:posOffset>0</wp:posOffset>
            </wp:positionV>
            <wp:extent cx="2473325" cy="1457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3325" cy="1457325"/>
                    </a:xfrm>
                    <a:prstGeom prst="rect">
                      <a:avLst/>
                    </a:prstGeom>
                    <a:noFill/>
                  </pic:spPr>
                </pic:pic>
              </a:graphicData>
            </a:graphic>
            <wp14:sizeRelH relativeFrom="page">
              <wp14:pctWidth>0</wp14:pctWidth>
            </wp14:sizeRelH>
            <wp14:sizeRelV relativeFrom="page">
              <wp14:pctHeight>0</wp14:pctHeight>
            </wp14:sizeRelV>
          </wp:anchor>
        </w:drawing>
      </w:r>
    </w:p>
    <w:p w14:paraId="432ADD6A" w14:textId="77777777" w:rsidR="00031E4A" w:rsidRDefault="00031E4A" w:rsidP="00031E4A">
      <w:pPr>
        <w:pStyle w:val="Header"/>
        <w:rPr>
          <w:b/>
          <w:bCs/>
          <w:color w:val="000000" w:themeColor="text1"/>
          <w:sz w:val="36"/>
        </w:rPr>
      </w:pPr>
      <w:r>
        <w:rPr>
          <w:b/>
          <w:bCs/>
          <w:color w:val="000000" w:themeColor="text1"/>
          <w:sz w:val="36"/>
        </w:rPr>
        <w:t xml:space="preserve">REPORT: </w:t>
      </w:r>
    </w:p>
    <w:p w14:paraId="5E7D153B" w14:textId="77777777" w:rsidR="00031E4A" w:rsidRDefault="00031E4A" w:rsidP="00031E4A">
      <w:pPr>
        <w:pStyle w:val="Header"/>
        <w:rPr>
          <w:noProof/>
          <w:color w:val="000000" w:themeColor="text1"/>
          <w:sz w:val="22"/>
        </w:rPr>
      </w:pPr>
      <w:r>
        <w:rPr>
          <w:b/>
          <w:bCs/>
          <w:color w:val="000000" w:themeColor="text1"/>
          <w:sz w:val="36"/>
        </w:rPr>
        <w:t>State of College Financial Preparedness in Idaho</w:t>
      </w:r>
      <w:r>
        <w:rPr>
          <w:noProof/>
          <w:color w:val="000000" w:themeColor="text1"/>
          <w:sz w:val="22"/>
        </w:rPr>
        <w:t xml:space="preserve"> </w:t>
      </w:r>
    </w:p>
    <w:p w14:paraId="7FA45D95" w14:textId="77777777" w:rsidR="00031E4A" w:rsidRDefault="00031E4A" w:rsidP="00031E4A">
      <w:pPr>
        <w:pStyle w:val="Header"/>
        <w:rPr>
          <w:noProof/>
          <w:color w:val="000000" w:themeColor="text1"/>
          <w:sz w:val="22"/>
        </w:rPr>
      </w:pPr>
    </w:p>
    <w:p w14:paraId="5FA72592" w14:textId="77777777" w:rsidR="00031E4A" w:rsidRDefault="00031E4A" w:rsidP="00031E4A">
      <w:pPr>
        <w:rPr>
          <w:b/>
          <w:bCs/>
          <w:color w:val="000000" w:themeColor="text1"/>
        </w:rPr>
      </w:pPr>
      <w:r>
        <w:rPr>
          <w:b/>
          <w:bCs/>
          <w:color w:val="000000" w:themeColor="text1"/>
        </w:rPr>
        <w:t>Attitudes and Behavior of Idaho Families</w:t>
      </w:r>
    </w:p>
    <w:p w14:paraId="2A594967" w14:textId="77777777" w:rsidR="00031E4A" w:rsidRDefault="00031E4A" w:rsidP="00031E4A">
      <w:pPr>
        <w:rPr>
          <w:b/>
          <w:bCs/>
          <w:color w:val="000000" w:themeColor="text1"/>
        </w:rPr>
      </w:pPr>
    </w:p>
    <w:p w14:paraId="3E61B575" w14:textId="77777777" w:rsidR="00031E4A" w:rsidRDefault="00031E4A" w:rsidP="00031E4A">
      <w:pPr>
        <w:rPr>
          <w:b/>
          <w:bCs/>
          <w:color w:val="000000" w:themeColor="text1"/>
        </w:rPr>
      </w:pPr>
    </w:p>
    <w:p w14:paraId="457B1675" w14:textId="77777777" w:rsidR="00031E4A" w:rsidRDefault="00031E4A" w:rsidP="00031E4A">
      <w:pPr>
        <w:rPr>
          <w:b/>
          <w:bCs/>
          <w:color w:val="000000" w:themeColor="text1"/>
        </w:rPr>
      </w:pPr>
      <w:r>
        <w:rPr>
          <w:b/>
          <w:bCs/>
          <w:color w:val="000000" w:themeColor="text1"/>
        </w:rPr>
        <w:t>Background</w:t>
      </w:r>
    </w:p>
    <w:p w14:paraId="1E194EE3" w14:textId="77777777" w:rsidR="00031E4A" w:rsidRDefault="00031E4A" w:rsidP="00031E4A">
      <w:pPr>
        <w:rPr>
          <w:sz w:val="22"/>
        </w:rPr>
      </w:pPr>
    </w:p>
    <w:p w14:paraId="55E9AA05" w14:textId="1FB158EE" w:rsidR="005E5F34" w:rsidRDefault="005E5F34" w:rsidP="00031E4A">
      <w:pPr>
        <w:rPr>
          <w:color w:val="000000" w:themeColor="text1"/>
          <w:sz w:val="22"/>
        </w:rPr>
      </w:pPr>
      <w:proofErr w:type="spellStart"/>
      <w:r w:rsidRPr="005E5F34">
        <w:rPr>
          <w:color w:val="000000" w:themeColor="text1"/>
          <w:sz w:val="22"/>
        </w:rPr>
        <w:t>ID</w:t>
      </w:r>
      <w:r>
        <w:rPr>
          <w:color w:val="000000" w:themeColor="text1"/>
          <w:sz w:val="22"/>
        </w:rPr>
        <w:t>eal</w:t>
      </w:r>
      <w:proofErr w:type="spellEnd"/>
      <w:r>
        <w:rPr>
          <w:color w:val="000000" w:themeColor="text1"/>
          <w:sz w:val="22"/>
        </w:rPr>
        <w:t xml:space="preserve"> – Idaho College Savings Program</w:t>
      </w:r>
      <w:r w:rsidRPr="005E5F34">
        <w:rPr>
          <w:color w:val="000000" w:themeColor="text1"/>
          <w:sz w:val="22"/>
        </w:rPr>
        <w:t xml:space="preserve"> is a state sponsored, tax advantage</w:t>
      </w:r>
      <w:r>
        <w:rPr>
          <w:color w:val="000000" w:themeColor="text1"/>
          <w:sz w:val="22"/>
        </w:rPr>
        <w:t>d</w:t>
      </w:r>
      <w:r w:rsidRPr="005E5F34">
        <w:rPr>
          <w:color w:val="000000" w:themeColor="text1"/>
          <w:sz w:val="22"/>
        </w:rPr>
        <w:t xml:space="preserve"> savings plan that helps families </w:t>
      </w:r>
      <w:r w:rsidR="0061445B">
        <w:rPr>
          <w:color w:val="000000" w:themeColor="text1"/>
          <w:sz w:val="22"/>
        </w:rPr>
        <w:t xml:space="preserve">save </w:t>
      </w:r>
      <w:r w:rsidRPr="005E5F34">
        <w:rPr>
          <w:color w:val="000000" w:themeColor="text1"/>
          <w:sz w:val="22"/>
        </w:rPr>
        <w:t xml:space="preserve">for the cost of college. With the rising costs of college, developing a savings plan </w:t>
      </w:r>
      <w:r w:rsidR="003B15FA">
        <w:rPr>
          <w:color w:val="000000" w:themeColor="text1"/>
          <w:sz w:val="22"/>
        </w:rPr>
        <w:t>can be</w:t>
      </w:r>
      <w:r w:rsidR="003B15FA" w:rsidRPr="005E5F34">
        <w:rPr>
          <w:color w:val="000000" w:themeColor="text1"/>
          <w:sz w:val="22"/>
        </w:rPr>
        <w:t xml:space="preserve"> </w:t>
      </w:r>
      <w:r w:rsidRPr="005E5F34">
        <w:rPr>
          <w:color w:val="000000" w:themeColor="text1"/>
          <w:sz w:val="22"/>
        </w:rPr>
        <w:t>the first and most important step in helping families finance a college education.</w:t>
      </w:r>
    </w:p>
    <w:p w14:paraId="6F73C971" w14:textId="77777777" w:rsidR="00031E4A" w:rsidRDefault="00031E4A" w:rsidP="00031E4A">
      <w:pPr>
        <w:rPr>
          <w:color w:val="000000" w:themeColor="text1"/>
          <w:sz w:val="22"/>
        </w:rPr>
      </w:pPr>
    </w:p>
    <w:p w14:paraId="4803DE13" w14:textId="0C6E2428" w:rsidR="00031E4A" w:rsidRDefault="00031E4A" w:rsidP="00031E4A">
      <w:pPr>
        <w:rPr>
          <w:color w:val="000000" w:themeColor="text1"/>
          <w:sz w:val="22"/>
        </w:rPr>
      </w:pPr>
      <w:r>
        <w:rPr>
          <w:color w:val="000000" w:themeColor="text1"/>
          <w:sz w:val="22"/>
        </w:rPr>
        <w:t xml:space="preserve">Financial preparedness is among the chief factors influencing whether students choose to go on to higher education. A </w:t>
      </w:r>
      <w:hyperlink r:id="rId8" w:history="1">
        <w:r>
          <w:rPr>
            <w:rStyle w:val="Hyperlink"/>
            <w:color w:val="000000" w:themeColor="text1"/>
            <w:sz w:val="22"/>
          </w:rPr>
          <w:t>2017 report</w:t>
        </w:r>
      </w:hyperlink>
      <w:r>
        <w:rPr>
          <w:color w:val="000000" w:themeColor="text1"/>
          <w:sz w:val="22"/>
        </w:rPr>
        <w:t xml:space="preserve"> by the University of Idaho’s McClure Center for Public Policy cites evidence that Idaho’s effort to raise our state’s college-going rate must emphasize reducing financial barriers. </w:t>
      </w:r>
    </w:p>
    <w:p w14:paraId="576B59A4" w14:textId="77777777" w:rsidR="00031E4A" w:rsidRDefault="00031E4A" w:rsidP="00031E4A">
      <w:pPr>
        <w:rPr>
          <w:color w:val="000000" w:themeColor="text1"/>
          <w:sz w:val="22"/>
        </w:rPr>
      </w:pPr>
    </w:p>
    <w:p w14:paraId="4C5AC125" w14:textId="77777777" w:rsidR="00031E4A" w:rsidRDefault="00DC7A83" w:rsidP="00031E4A">
      <w:pPr>
        <w:rPr>
          <w:color w:val="000000" w:themeColor="text1"/>
          <w:sz w:val="22"/>
        </w:rPr>
      </w:pPr>
      <w:hyperlink r:id="rId9" w:history="1">
        <w:r w:rsidR="00031E4A">
          <w:rPr>
            <w:rStyle w:val="Hyperlink"/>
            <w:sz w:val="22"/>
          </w:rPr>
          <w:t>And according to KTVB,</w:t>
        </w:r>
      </w:hyperlink>
      <w:r w:rsidR="00031E4A">
        <w:rPr>
          <w:color w:val="000000" w:themeColor="text1"/>
          <w:sz w:val="22"/>
        </w:rPr>
        <w:t xml:space="preserve"> “The Idaho Center for Fiscal Policy, a non-profit, non-partisan organization, calls the growing debt load for many students combined with steeply rising tuition and fees, and higher barriers to attending college for middle and low-income Idahoans a threat to Idaho's economy.” </w:t>
      </w:r>
    </w:p>
    <w:p w14:paraId="50B076BE" w14:textId="77777777" w:rsidR="00031E4A" w:rsidRDefault="00031E4A" w:rsidP="00031E4A">
      <w:pPr>
        <w:rPr>
          <w:color w:val="000000" w:themeColor="text1"/>
          <w:sz w:val="22"/>
        </w:rPr>
      </w:pPr>
    </w:p>
    <w:p w14:paraId="1CC829BF" w14:textId="77777777" w:rsidR="00031E4A" w:rsidRDefault="00031E4A" w:rsidP="00031E4A">
      <w:pPr>
        <w:rPr>
          <w:color w:val="000000" w:themeColor="text1"/>
          <w:sz w:val="22"/>
        </w:rPr>
      </w:pPr>
      <w:r>
        <w:rPr>
          <w:color w:val="000000" w:themeColor="text1"/>
          <w:sz w:val="22"/>
        </w:rPr>
        <w:t>Empowering students to go on to higher education is a crucial effort, given the economic demand for college graduates and the fact that college graduates earn an average of $17,500 per year more than high school graduates.</w:t>
      </w:r>
      <w:r>
        <w:rPr>
          <w:rStyle w:val="EndnoteReference"/>
          <w:color w:val="000000" w:themeColor="text1"/>
          <w:sz w:val="22"/>
        </w:rPr>
        <w:endnoteReference w:id="1"/>
      </w:r>
    </w:p>
    <w:p w14:paraId="45F64C3E" w14:textId="77777777" w:rsidR="00031E4A" w:rsidRDefault="00031E4A" w:rsidP="00031E4A">
      <w:pPr>
        <w:rPr>
          <w:color w:val="000000" w:themeColor="text1"/>
          <w:sz w:val="22"/>
        </w:rPr>
      </w:pPr>
    </w:p>
    <w:p w14:paraId="14D7C7C9" w14:textId="11EF284F" w:rsidR="00031E4A" w:rsidRDefault="00031E4A" w:rsidP="00031E4A">
      <w:pPr>
        <w:rPr>
          <w:color w:val="000000" w:themeColor="text1"/>
          <w:sz w:val="22"/>
        </w:rPr>
      </w:pPr>
      <w:r>
        <w:rPr>
          <w:color w:val="000000" w:themeColor="text1"/>
          <w:sz w:val="22"/>
        </w:rPr>
        <w:t xml:space="preserve">In addition to the practical effect of potentially helping reduce out-of-pocket expenditures and dependence on student loans, studies by Washington University show that whether a family has saved </w:t>
      </w:r>
      <w:r>
        <w:rPr>
          <w:i/>
          <w:color w:val="000000" w:themeColor="text1"/>
          <w:sz w:val="22"/>
        </w:rPr>
        <w:t xml:space="preserve">any amount </w:t>
      </w:r>
      <w:r>
        <w:rPr>
          <w:color w:val="000000" w:themeColor="text1"/>
          <w:sz w:val="22"/>
        </w:rPr>
        <w:t xml:space="preserve">for college greatly impacts (up to seven times) a child’s likelihood of going on </w:t>
      </w:r>
      <w:r w:rsidR="00232F09">
        <w:rPr>
          <w:color w:val="000000" w:themeColor="text1"/>
          <w:sz w:val="22"/>
        </w:rPr>
        <w:t>and finishing their</w:t>
      </w:r>
      <w:r>
        <w:rPr>
          <w:color w:val="000000" w:themeColor="text1"/>
          <w:sz w:val="22"/>
        </w:rPr>
        <w:t xml:space="preserve"> higher education</w:t>
      </w:r>
      <w:r>
        <w:rPr>
          <w:i/>
          <w:color w:val="000000" w:themeColor="text1"/>
          <w:sz w:val="22"/>
        </w:rPr>
        <w:t>.</w:t>
      </w:r>
      <w:r>
        <w:rPr>
          <w:rStyle w:val="EndnoteReference"/>
          <w:i/>
          <w:color w:val="000000" w:themeColor="text1"/>
          <w:sz w:val="22"/>
        </w:rPr>
        <w:endnoteReference w:id="2"/>
      </w:r>
      <w:r>
        <w:rPr>
          <w:i/>
          <w:color w:val="000000" w:themeColor="text1"/>
          <w:sz w:val="22"/>
        </w:rPr>
        <w:t xml:space="preserve">  </w:t>
      </w:r>
    </w:p>
    <w:p w14:paraId="351814A8" w14:textId="77777777" w:rsidR="00031E4A" w:rsidRDefault="00031E4A" w:rsidP="00031E4A">
      <w:pPr>
        <w:rPr>
          <w:b/>
          <w:color w:val="000000" w:themeColor="text1"/>
        </w:rPr>
      </w:pPr>
    </w:p>
    <w:p w14:paraId="77DD3211" w14:textId="044FB936" w:rsidR="00031E4A" w:rsidRDefault="00031E4A" w:rsidP="00031E4A">
      <w:pPr>
        <w:rPr>
          <w:color w:val="000000" w:themeColor="text1"/>
          <w:sz w:val="22"/>
        </w:rPr>
      </w:pPr>
      <w:r>
        <w:rPr>
          <w:b/>
          <w:color w:val="000000" w:themeColor="text1"/>
          <w:sz w:val="22"/>
        </w:rPr>
        <w:t xml:space="preserve">With this report, </w:t>
      </w:r>
      <w:proofErr w:type="spellStart"/>
      <w:r>
        <w:rPr>
          <w:b/>
          <w:color w:val="000000" w:themeColor="text1"/>
          <w:sz w:val="22"/>
        </w:rPr>
        <w:t>IDeal</w:t>
      </w:r>
      <w:proofErr w:type="spellEnd"/>
      <w:r>
        <w:rPr>
          <w:b/>
          <w:color w:val="000000" w:themeColor="text1"/>
          <w:sz w:val="22"/>
        </w:rPr>
        <w:t xml:space="preserve">—Idaho’s 529 College Savings Program sheds light on </w:t>
      </w:r>
      <w:r w:rsidR="0061445B">
        <w:rPr>
          <w:b/>
          <w:color w:val="000000" w:themeColor="text1"/>
          <w:sz w:val="22"/>
        </w:rPr>
        <w:t xml:space="preserve">the savings behaviors of </w:t>
      </w:r>
      <w:r>
        <w:rPr>
          <w:b/>
          <w:color w:val="000000" w:themeColor="text1"/>
          <w:sz w:val="22"/>
        </w:rPr>
        <w:t xml:space="preserve">Idahoans </w:t>
      </w:r>
      <w:r w:rsidR="0061445B">
        <w:rPr>
          <w:b/>
          <w:color w:val="000000" w:themeColor="text1"/>
          <w:sz w:val="22"/>
        </w:rPr>
        <w:t>who are p</w:t>
      </w:r>
      <w:r>
        <w:rPr>
          <w:b/>
          <w:color w:val="000000" w:themeColor="text1"/>
          <w:sz w:val="22"/>
        </w:rPr>
        <w:t>reparing for the costs of higher education and where more work can be done to promote college financial preparedness.</w:t>
      </w:r>
      <w:r>
        <w:rPr>
          <w:color w:val="000000" w:themeColor="text1"/>
          <w:sz w:val="22"/>
        </w:rPr>
        <w:t xml:space="preserve">  </w:t>
      </w:r>
    </w:p>
    <w:p w14:paraId="7BD6A97D" w14:textId="77777777" w:rsidR="00031E4A" w:rsidRDefault="00031E4A" w:rsidP="00031E4A">
      <w:pPr>
        <w:rPr>
          <w:color w:val="000000" w:themeColor="text1"/>
        </w:rPr>
      </w:pPr>
    </w:p>
    <w:p w14:paraId="75310F3A" w14:textId="69CCE278" w:rsidR="00031E4A" w:rsidRDefault="00031E4A" w:rsidP="00031E4A">
      <w:pPr>
        <w:ind w:hanging="270"/>
        <w:rPr>
          <w:b/>
          <w:i/>
          <w:color w:val="7030A0"/>
          <w:sz w:val="40"/>
        </w:rPr>
      </w:pPr>
      <w:r>
        <w:rPr>
          <w:b/>
          <w:i/>
          <w:color w:val="7030A0"/>
          <w:sz w:val="44"/>
        </w:rPr>
        <w:t>“</w:t>
      </w:r>
      <w:r>
        <w:rPr>
          <w:i/>
          <w:color w:val="7030A0"/>
          <w:sz w:val="22"/>
        </w:rPr>
        <w:t>Widespread reliance on student loans cannot be the status quo if we wish to sustain the work being done across our state right now to improve college-going rates. High loan balances can stall economic adulthood and lead to missed financial opportunities. Idaho’s work to fund more scholarships is a meaningful and necessary first step. Long term, families also need a financial tool over which they have more direct control</w:t>
      </w:r>
      <w:r w:rsidR="00FE4356">
        <w:rPr>
          <w:i/>
          <w:color w:val="7030A0"/>
          <w:sz w:val="22"/>
        </w:rPr>
        <w:t>,</w:t>
      </w:r>
      <w:r w:rsidR="00232F09">
        <w:rPr>
          <w:i/>
          <w:color w:val="7030A0"/>
          <w:sz w:val="22"/>
        </w:rPr>
        <w:t xml:space="preserve"> such as the state’s 529 </w:t>
      </w:r>
      <w:r w:rsidR="008C7D8F">
        <w:rPr>
          <w:i/>
          <w:color w:val="7030A0"/>
          <w:sz w:val="22"/>
        </w:rPr>
        <w:t>college savings program</w:t>
      </w:r>
      <w:r>
        <w:rPr>
          <w:i/>
          <w:color w:val="7030A0"/>
          <w:sz w:val="22"/>
        </w:rPr>
        <w:t>.”</w:t>
      </w:r>
    </w:p>
    <w:p w14:paraId="762216C8" w14:textId="77777777" w:rsidR="00031E4A" w:rsidRDefault="00031E4A" w:rsidP="00031E4A">
      <w:pPr>
        <w:rPr>
          <w:i/>
          <w:color w:val="7030A0"/>
          <w:sz w:val="22"/>
        </w:rPr>
      </w:pPr>
    </w:p>
    <w:p w14:paraId="14D0FA75" w14:textId="77777777" w:rsidR="00031E4A" w:rsidRDefault="00031E4A" w:rsidP="00031E4A">
      <w:pPr>
        <w:rPr>
          <w:i/>
          <w:color w:val="7030A0"/>
          <w:sz w:val="22"/>
        </w:rPr>
      </w:pPr>
      <w:r>
        <w:rPr>
          <w:i/>
          <w:color w:val="7030A0"/>
          <w:sz w:val="22"/>
        </w:rPr>
        <w:t xml:space="preserve">–Christine Stoll, Executive Director, </w:t>
      </w:r>
      <w:proofErr w:type="spellStart"/>
      <w:r>
        <w:rPr>
          <w:i/>
          <w:color w:val="7030A0"/>
          <w:sz w:val="22"/>
        </w:rPr>
        <w:t>IDeal</w:t>
      </w:r>
      <w:proofErr w:type="spellEnd"/>
      <w:r>
        <w:rPr>
          <w:i/>
          <w:color w:val="7030A0"/>
          <w:sz w:val="22"/>
        </w:rPr>
        <w:t>—Idaho 529 College Savings Program</w:t>
      </w:r>
    </w:p>
    <w:p w14:paraId="73CCD7A0" w14:textId="77777777" w:rsidR="0021282F" w:rsidRDefault="0021282F" w:rsidP="00031E4A">
      <w:pPr>
        <w:rPr>
          <w:color w:val="000000" w:themeColor="text1"/>
          <w:sz w:val="22"/>
        </w:rPr>
      </w:pPr>
    </w:p>
    <w:p w14:paraId="00AD71E0" w14:textId="77777777" w:rsidR="0021282F" w:rsidRDefault="0021282F" w:rsidP="00031E4A">
      <w:pPr>
        <w:rPr>
          <w:color w:val="000000" w:themeColor="text1"/>
          <w:sz w:val="22"/>
        </w:rPr>
      </w:pPr>
    </w:p>
    <w:p w14:paraId="5D350E38" w14:textId="283E242B" w:rsidR="00031E4A" w:rsidRDefault="00031E4A" w:rsidP="00031E4A">
      <w:pPr>
        <w:rPr>
          <w:i/>
          <w:color w:val="7030A0"/>
          <w:sz w:val="22"/>
        </w:rPr>
      </w:pPr>
      <w:r>
        <w:rPr>
          <w:color w:val="000000" w:themeColor="text1"/>
          <w:sz w:val="22"/>
        </w:rPr>
        <w:t>Data reported</w:t>
      </w:r>
      <w:r w:rsidR="0021282F">
        <w:rPr>
          <w:color w:val="000000" w:themeColor="text1"/>
          <w:sz w:val="22"/>
        </w:rPr>
        <w:t xml:space="preserve"> in this report </w:t>
      </w:r>
      <w:r w:rsidR="004C0A20">
        <w:rPr>
          <w:color w:val="000000" w:themeColor="text1"/>
          <w:sz w:val="22"/>
        </w:rPr>
        <w:t>compares</w:t>
      </w:r>
      <w:r w:rsidR="0021282F">
        <w:rPr>
          <w:color w:val="000000" w:themeColor="text1"/>
          <w:sz w:val="22"/>
        </w:rPr>
        <w:t xml:space="preserve"> </w:t>
      </w:r>
      <w:r>
        <w:rPr>
          <w:color w:val="000000" w:themeColor="text1"/>
          <w:sz w:val="22"/>
        </w:rPr>
        <w:t>9/30/2016 to 9/</w:t>
      </w:r>
      <w:r w:rsidR="004C0A20">
        <w:rPr>
          <w:color w:val="000000" w:themeColor="text1"/>
          <w:sz w:val="22"/>
        </w:rPr>
        <w:t>30</w:t>
      </w:r>
      <w:r>
        <w:rPr>
          <w:color w:val="000000" w:themeColor="text1"/>
          <w:sz w:val="22"/>
        </w:rPr>
        <w:t xml:space="preserve">/2017. </w:t>
      </w:r>
      <w:r>
        <w:rPr>
          <w:i/>
          <w:color w:val="7030A0"/>
          <w:sz w:val="22"/>
        </w:rPr>
        <w:br w:type="page"/>
      </w:r>
    </w:p>
    <w:p w14:paraId="576F718E" w14:textId="77777777" w:rsidR="00031E4A" w:rsidRDefault="00031E4A" w:rsidP="00031E4A">
      <w:pPr>
        <w:rPr>
          <w:b/>
          <w:bCs/>
          <w:color w:val="000000" w:themeColor="text1"/>
          <w:sz w:val="40"/>
        </w:rPr>
      </w:pPr>
      <w:r>
        <w:rPr>
          <w:b/>
          <w:bCs/>
          <w:color w:val="000000" w:themeColor="text1"/>
          <w:sz w:val="40"/>
        </w:rPr>
        <w:lastRenderedPageBreak/>
        <w:t>Contents</w:t>
      </w:r>
    </w:p>
    <w:p w14:paraId="43477DEB" w14:textId="77777777" w:rsidR="00031E4A" w:rsidRDefault="00031E4A" w:rsidP="00031E4A">
      <w:pPr>
        <w:rPr>
          <w:b/>
          <w:bCs/>
          <w:color w:val="000000" w:themeColor="text1"/>
          <w:sz w:val="48"/>
        </w:rPr>
      </w:pPr>
    </w:p>
    <w:tbl>
      <w:tblPr>
        <w:tblStyle w:val="TableGrid"/>
        <w:tblpPr w:leftFromText="180" w:rightFromText="180" w:vertAnchor="text" w:horzAnchor="page" w:tblpX="1690" w:tblpY="648"/>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018"/>
        <w:gridCol w:w="879"/>
      </w:tblGrid>
      <w:tr w:rsidR="008C74F0" w14:paraId="5D967186" w14:textId="77777777" w:rsidTr="00832BB3">
        <w:tc>
          <w:tcPr>
            <w:tcW w:w="3018" w:type="dxa"/>
          </w:tcPr>
          <w:p w14:paraId="7A1EEEBC" w14:textId="19F6104F" w:rsidR="008C74F0" w:rsidRPr="00242855" w:rsidRDefault="008C74F0" w:rsidP="00242855">
            <w:pPr>
              <w:spacing w:before="240" w:after="240"/>
              <w:jc w:val="right"/>
              <w:rPr>
                <w:b/>
                <w:bCs/>
                <w:color w:val="000000" w:themeColor="text1"/>
              </w:rPr>
            </w:pPr>
            <w:r w:rsidRPr="00242855">
              <w:rPr>
                <w:b/>
                <w:bCs/>
                <w:color w:val="000000" w:themeColor="text1"/>
              </w:rPr>
              <w:t>Commentary</w:t>
            </w:r>
          </w:p>
        </w:tc>
        <w:tc>
          <w:tcPr>
            <w:tcW w:w="879" w:type="dxa"/>
            <w:vAlign w:val="center"/>
          </w:tcPr>
          <w:p w14:paraId="0FB99504" w14:textId="0FDC68DD" w:rsidR="008C74F0" w:rsidRDefault="008C74F0" w:rsidP="00242855">
            <w:pPr>
              <w:spacing w:before="240" w:after="240"/>
              <w:rPr>
                <w:color w:val="000000" w:themeColor="text1"/>
              </w:rPr>
            </w:pPr>
            <w:r>
              <w:rPr>
                <w:color w:val="000000" w:themeColor="text1"/>
              </w:rPr>
              <w:t>3</w:t>
            </w:r>
          </w:p>
        </w:tc>
      </w:tr>
      <w:tr w:rsidR="00832BB3" w14:paraId="20E51278" w14:textId="77777777" w:rsidTr="00832BB3">
        <w:tc>
          <w:tcPr>
            <w:tcW w:w="3018" w:type="dxa"/>
            <w:hideMark/>
          </w:tcPr>
          <w:p w14:paraId="6F931FDB" w14:textId="77777777" w:rsidR="00031E4A" w:rsidRPr="00242855" w:rsidRDefault="00031E4A" w:rsidP="00242855">
            <w:pPr>
              <w:spacing w:before="240" w:after="240"/>
              <w:jc w:val="right"/>
              <w:rPr>
                <w:b/>
                <w:color w:val="000000" w:themeColor="text1"/>
              </w:rPr>
            </w:pPr>
            <w:r w:rsidRPr="00242855">
              <w:rPr>
                <w:b/>
                <w:color w:val="000000" w:themeColor="text1"/>
              </w:rPr>
              <w:t>Key Findings: Statewide</w:t>
            </w:r>
          </w:p>
        </w:tc>
        <w:tc>
          <w:tcPr>
            <w:tcW w:w="879" w:type="dxa"/>
            <w:vAlign w:val="center"/>
            <w:hideMark/>
          </w:tcPr>
          <w:p w14:paraId="7A3A1283" w14:textId="77777777" w:rsidR="00031E4A" w:rsidRDefault="00031E4A" w:rsidP="00242855">
            <w:pPr>
              <w:spacing w:before="240" w:after="240"/>
              <w:rPr>
                <w:color w:val="000000" w:themeColor="text1"/>
              </w:rPr>
            </w:pPr>
            <w:r>
              <w:rPr>
                <w:color w:val="000000" w:themeColor="text1"/>
              </w:rPr>
              <w:t>4</w:t>
            </w:r>
          </w:p>
        </w:tc>
      </w:tr>
      <w:tr w:rsidR="00832BB3" w14:paraId="34B333EC" w14:textId="77777777" w:rsidTr="00832BB3">
        <w:tc>
          <w:tcPr>
            <w:tcW w:w="3018" w:type="dxa"/>
            <w:hideMark/>
          </w:tcPr>
          <w:p w14:paraId="0F024835" w14:textId="57A37DEC" w:rsidR="00031E4A" w:rsidRPr="00242855" w:rsidRDefault="008C74F0" w:rsidP="00242855">
            <w:pPr>
              <w:spacing w:before="240" w:after="240"/>
              <w:jc w:val="right"/>
              <w:rPr>
                <w:b/>
                <w:color w:val="000000" w:themeColor="text1"/>
              </w:rPr>
            </w:pPr>
            <w:r w:rsidRPr="00242855">
              <w:rPr>
                <w:b/>
                <w:color w:val="000000" w:themeColor="text1"/>
              </w:rPr>
              <w:t>Regional Comparisons</w:t>
            </w:r>
          </w:p>
        </w:tc>
        <w:tc>
          <w:tcPr>
            <w:tcW w:w="879" w:type="dxa"/>
            <w:vAlign w:val="center"/>
            <w:hideMark/>
          </w:tcPr>
          <w:p w14:paraId="6598DF16" w14:textId="77777777" w:rsidR="00031E4A" w:rsidRDefault="00031E4A" w:rsidP="00242855">
            <w:pPr>
              <w:spacing w:before="240" w:after="240"/>
              <w:ind w:right="2955"/>
              <w:rPr>
                <w:color w:val="000000" w:themeColor="text1"/>
              </w:rPr>
            </w:pPr>
            <w:r>
              <w:rPr>
                <w:color w:val="000000" w:themeColor="text1"/>
              </w:rPr>
              <w:t>5</w:t>
            </w:r>
          </w:p>
        </w:tc>
      </w:tr>
      <w:tr w:rsidR="00832BB3" w14:paraId="6140CDC5" w14:textId="77777777" w:rsidTr="00832BB3">
        <w:tc>
          <w:tcPr>
            <w:tcW w:w="3018" w:type="dxa"/>
            <w:hideMark/>
          </w:tcPr>
          <w:p w14:paraId="59DBB1E9" w14:textId="77777777" w:rsidR="00031E4A" w:rsidRPr="00242855" w:rsidRDefault="00031E4A" w:rsidP="00242855">
            <w:pPr>
              <w:spacing w:before="240" w:after="240"/>
              <w:jc w:val="right"/>
              <w:rPr>
                <w:b/>
                <w:color w:val="000000" w:themeColor="text1"/>
              </w:rPr>
            </w:pPr>
            <w:r w:rsidRPr="00242855">
              <w:rPr>
                <w:b/>
                <w:color w:val="000000" w:themeColor="text1"/>
              </w:rPr>
              <w:t>North Idaho Findings</w:t>
            </w:r>
          </w:p>
        </w:tc>
        <w:tc>
          <w:tcPr>
            <w:tcW w:w="879" w:type="dxa"/>
            <w:vAlign w:val="center"/>
            <w:hideMark/>
          </w:tcPr>
          <w:p w14:paraId="5C4514EE" w14:textId="77777777" w:rsidR="00031E4A" w:rsidRDefault="00031E4A" w:rsidP="00242855">
            <w:pPr>
              <w:spacing w:before="240" w:after="240"/>
              <w:rPr>
                <w:color w:val="000000" w:themeColor="text1"/>
              </w:rPr>
            </w:pPr>
            <w:r>
              <w:rPr>
                <w:color w:val="000000" w:themeColor="text1"/>
              </w:rPr>
              <w:t>6</w:t>
            </w:r>
          </w:p>
        </w:tc>
      </w:tr>
      <w:tr w:rsidR="00832BB3" w14:paraId="7D272BE7" w14:textId="77777777" w:rsidTr="00832BB3">
        <w:trPr>
          <w:trHeight w:val="328"/>
        </w:trPr>
        <w:tc>
          <w:tcPr>
            <w:tcW w:w="3018" w:type="dxa"/>
            <w:hideMark/>
          </w:tcPr>
          <w:p w14:paraId="0E22DA35" w14:textId="77777777" w:rsidR="00031E4A" w:rsidRPr="00242855" w:rsidRDefault="00031E4A" w:rsidP="00242855">
            <w:pPr>
              <w:spacing w:before="240" w:after="240"/>
              <w:jc w:val="right"/>
              <w:rPr>
                <w:b/>
                <w:color w:val="000000" w:themeColor="text1"/>
              </w:rPr>
            </w:pPr>
            <w:r w:rsidRPr="00242855">
              <w:rPr>
                <w:b/>
                <w:color w:val="000000" w:themeColor="text1"/>
              </w:rPr>
              <w:t>Southwest Idaho Findings</w:t>
            </w:r>
          </w:p>
        </w:tc>
        <w:tc>
          <w:tcPr>
            <w:tcW w:w="879" w:type="dxa"/>
            <w:vAlign w:val="center"/>
            <w:hideMark/>
          </w:tcPr>
          <w:p w14:paraId="6A19DC59" w14:textId="6AC18A33" w:rsidR="00031E4A" w:rsidRDefault="008C74F0" w:rsidP="00242855">
            <w:pPr>
              <w:spacing w:before="240" w:after="240"/>
              <w:rPr>
                <w:color w:val="000000" w:themeColor="text1"/>
              </w:rPr>
            </w:pPr>
            <w:r>
              <w:rPr>
                <w:color w:val="000000" w:themeColor="text1"/>
              </w:rPr>
              <w:t>6</w:t>
            </w:r>
          </w:p>
        </w:tc>
      </w:tr>
      <w:tr w:rsidR="00832BB3" w14:paraId="52D0F30A" w14:textId="77777777" w:rsidTr="00832BB3">
        <w:tc>
          <w:tcPr>
            <w:tcW w:w="3018" w:type="dxa"/>
            <w:hideMark/>
          </w:tcPr>
          <w:p w14:paraId="62CC3A7F" w14:textId="77777777" w:rsidR="00031E4A" w:rsidRPr="00242855" w:rsidRDefault="00031E4A" w:rsidP="00242855">
            <w:pPr>
              <w:spacing w:before="240" w:after="240"/>
              <w:jc w:val="right"/>
              <w:rPr>
                <w:b/>
                <w:color w:val="000000" w:themeColor="text1"/>
              </w:rPr>
            </w:pPr>
            <w:r w:rsidRPr="00242855">
              <w:rPr>
                <w:b/>
                <w:color w:val="000000" w:themeColor="text1"/>
              </w:rPr>
              <w:t>Central Idaho Findings</w:t>
            </w:r>
          </w:p>
        </w:tc>
        <w:tc>
          <w:tcPr>
            <w:tcW w:w="879" w:type="dxa"/>
            <w:vAlign w:val="center"/>
            <w:hideMark/>
          </w:tcPr>
          <w:p w14:paraId="4FED0476" w14:textId="5F554B24" w:rsidR="00031E4A" w:rsidRDefault="008C74F0" w:rsidP="00242855">
            <w:pPr>
              <w:spacing w:before="240" w:after="240"/>
              <w:rPr>
                <w:color w:val="000000" w:themeColor="text1"/>
              </w:rPr>
            </w:pPr>
            <w:r>
              <w:rPr>
                <w:color w:val="000000" w:themeColor="text1"/>
              </w:rPr>
              <w:t>6</w:t>
            </w:r>
          </w:p>
        </w:tc>
      </w:tr>
      <w:tr w:rsidR="00832BB3" w14:paraId="556A28FA" w14:textId="77777777" w:rsidTr="00832BB3">
        <w:tc>
          <w:tcPr>
            <w:tcW w:w="3018" w:type="dxa"/>
            <w:hideMark/>
          </w:tcPr>
          <w:p w14:paraId="3508AE1C" w14:textId="77777777" w:rsidR="00031E4A" w:rsidRPr="00242855" w:rsidRDefault="00031E4A" w:rsidP="00242855">
            <w:pPr>
              <w:spacing w:before="240" w:after="240"/>
              <w:jc w:val="right"/>
              <w:rPr>
                <w:b/>
                <w:color w:val="000000" w:themeColor="text1"/>
              </w:rPr>
            </w:pPr>
            <w:r w:rsidRPr="00242855">
              <w:rPr>
                <w:b/>
                <w:color w:val="000000" w:themeColor="text1"/>
              </w:rPr>
              <w:t>Eastern Idaho Findings</w:t>
            </w:r>
          </w:p>
        </w:tc>
        <w:tc>
          <w:tcPr>
            <w:tcW w:w="879" w:type="dxa"/>
            <w:vAlign w:val="center"/>
            <w:hideMark/>
          </w:tcPr>
          <w:p w14:paraId="290C3C18" w14:textId="2519BEE3" w:rsidR="00031E4A" w:rsidRDefault="008C74F0" w:rsidP="00242855">
            <w:pPr>
              <w:spacing w:before="240" w:after="240"/>
              <w:rPr>
                <w:color w:val="000000" w:themeColor="text1"/>
              </w:rPr>
            </w:pPr>
            <w:r>
              <w:rPr>
                <w:color w:val="000000" w:themeColor="text1"/>
              </w:rPr>
              <w:t>6</w:t>
            </w:r>
          </w:p>
        </w:tc>
      </w:tr>
      <w:tr w:rsidR="00832BB3" w14:paraId="4822D6D0" w14:textId="77777777" w:rsidTr="00832BB3">
        <w:tc>
          <w:tcPr>
            <w:tcW w:w="3018" w:type="dxa"/>
          </w:tcPr>
          <w:p w14:paraId="66FADD2C" w14:textId="7B97D3CF" w:rsidR="008C74F0" w:rsidRPr="00242855" w:rsidRDefault="008C74F0" w:rsidP="00242855">
            <w:pPr>
              <w:spacing w:before="240" w:after="240"/>
              <w:jc w:val="right"/>
              <w:rPr>
                <w:b/>
                <w:color w:val="000000" w:themeColor="text1"/>
              </w:rPr>
            </w:pPr>
            <w:r w:rsidRPr="00242855">
              <w:rPr>
                <w:b/>
                <w:color w:val="000000" w:themeColor="text1"/>
              </w:rPr>
              <w:t>Local Case Study</w:t>
            </w:r>
          </w:p>
        </w:tc>
        <w:tc>
          <w:tcPr>
            <w:tcW w:w="879" w:type="dxa"/>
            <w:vAlign w:val="center"/>
          </w:tcPr>
          <w:p w14:paraId="4103C17E" w14:textId="0AA59BC5" w:rsidR="008C74F0" w:rsidRDefault="008C74F0" w:rsidP="00242855">
            <w:pPr>
              <w:spacing w:before="240" w:after="240"/>
              <w:rPr>
                <w:color w:val="000000" w:themeColor="text1"/>
              </w:rPr>
            </w:pPr>
            <w:r>
              <w:rPr>
                <w:color w:val="000000" w:themeColor="text1"/>
              </w:rPr>
              <w:t>7</w:t>
            </w:r>
          </w:p>
        </w:tc>
      </w:tr>
    </w:tbl>
    <w:p w14:paraId="27AAA02D" w14:textId="77777777" w:rsidR="00031E4A" w:rsidRDefault="00031E4A" w:rsidP="00031E4A">
      <w:pPr>
        <w:rPr>
          <w:b/>
          <w:bCs/>
          <w:color w:val="000000" w:themeColor="text1"/>
          <w:sz w:val="48"/>
        </w:rPr>
      </w:pPr>
      <w:r>
        <w:rPr>
          <w:b/>
          <w:bCs/>
          <w:color w:val="000000" w:themeColor="text1"/>
          <w:sz w:val="48"/>
        </w:rPr>
        <w:br w:type="page"/>
      </w:r>
    </w:p>
    <w:p w14:paraId="57CF9E56" w14:textId="37DF6D7E" w:rsidR="00031E4A" w:rsidRDefault="008C74F0" w:rsidP="00031E4A">
      <w:pPr>
        <w:rPr>
          <w:b/>
          <w:bCs/>
          <w:color w:val="000000" w:themeColor="text1"/>
          <w:sz w:val="32"/>
        </w:rPr>
      </w:pPr>
      <w:r>
        <w:rPr>
          <w:b/>
          <w:bCs/>
          <w:color w:val="000000" w:themeColor="text1"/>
          <w:sz w:val="32"/>
        </w:rPr>
        <w:lastRenderedPageBreak/>
        <w:t>Commenta</w:t>
      </w:r>
      <w:r w:rsidR="00031E4A">
        <w:rPr>
          <w:b/>
          <w:bCs/>
          <w:color w:val="000000" w:themeColor="text1"/>
          <w:sz w:val="32"/>
        </w:rPr>
        <w:t>ry</w:t>
      </w:r>
    </w:p>
    <w:p w14:paraId="72D93E95" w14:textId="20613913" w:rsidR="00031E4A" w:rsidRDefault="00031E4A" w:rsidP="00031E4A">
      <w:pPr>
        <w:rPr>
          <w:sz w:val="22"/>
        </w:rPr>
      </w:pPr>
      <w:r>
        <w:rPr>
          <w:sz w:val="22"/>
        </w:rPr>
        <w:br/>
        <w:t xml:space="preserve">This report provides a benchmark for the coming years, and intends to show local communities both good news and room for improvement. As </w:t>
      </w:r>
      <w:proofErr w:type="spellStart"/>
      <w:r>
        <w:rPr>
          <w:sz w:val="22"/>
        </w:rPr>
        <w:t>IDeal</w:t>
      </w:r>
      <w:proofErr w:type="spellEnd"/>
      <w:r>
        <w:rPr>
          <w:sz w:val="22"/>
        </w:rPr>
        <w:t xml:space="preserve"> continues our work, we thank those who have supported the </w:t>
      </w:r>
      <w:r w:rsidR="008365F4">
        <w:rPr>
          <w:sz w:val="22"/>
        </w:rPr>
        <w:t>P</w:t>
      </w:r>
      <w:r>
        <w:rPr>
          <w:sz w:val="22"/>
        </w:rPr>
        <w:t>rogram</w:t>
      </w:r>
      <w:r w:rsidR="0061445B">
        <w:rPr>
          <w:sz w:val="22"/>
        </w:rPr>
        <w:t>.  We</w:t>
      </w:r>
      <w:r>
        <w:rPr>
          <w:sz w:val="22"/>
        </w:rPr>
        <w:t xml:space="preserve"> ask </w:t>
      </w:r>
      <w:r w:rsidR="0061445B">
        <w:rPr>
          <w:sz w:val="22"/>
        </w:rPr>
        <w:t xml:space="preserve">that </w:t>
      </w:r>
      <w:r>
        <w:rPr>
          <w:sz w:val="22"/>
        </w:rPr>
        <w:t xml:space="preserve">community officials and leaders </w:t>
      </w:r>
      <w:r w:rsidR="0061445B">
        <w:rPr>
          <w:sz w:val="22"/>
        </w:rPr>
        <w:t xml:space="preserve">throughout our state </w:t>
      </w:r>
      <w:r>
        <w:rPr>
          <w:sz w:val="22"/>
        </w:rPr>
        <w:t xml:space="preserve">take the opportunity to get the word out to Idaho families about this powerful tool for overcoming the financial barriers to higher education. </w:t>
      </w:r>
    </w:p>
    <w:p w14:paraId="1342BF96" w14:textId="77777777" w:rsidR="00031E4A" w:rsidRDefault="00031E4A" w:rsidP="00031E4A">
      <w:pPr>
        <w:rPr>
          <w:sz w:val="22"/>
        </w:rPr>
      </w:pPr>
    </w:p>
    <w:p w14:paraId="02BC8EE0" w14:textId="77777777" w:rsidR="00031E4A" w:rsidRDefault="00031E4A" w:rsidP="00031E4A">
      <w:pPr>
        <w:rPr>
          <w:sz w:val="22"/>
        </w:rPr>
      </w:pPr>
      <w:r>
        <w:rPr>
          <w:sz w:val="22"/>
        </w:rPr>
        <w:t xml:space="preserve">Our key takeaways include: </w:t>
      </w:r>
      <w:r>
        <w:rPr>
          <w:sz w:val="22"/>
        </w:rPr>
        <w:br/>
      </w:r>
    </w:p>
    <w:p w14:paraId="16C1CF64" w14:textId="77777777" w:rsidR="00031E4A" w:rsidRDefault="00031E4A" w:rsidP="00031E4A">
      <w:pPr>
        <w:pStyle w:val="ListParagraph"/>
        <w:numPr>
          <w:ilvl w:val="0"/>
          <w:numId w:val="1"/>
        </w:numPr>
        <w:rPr>
          <w:rFonts w:ascii="Times New Roman" w:hAnsi="Times New Roman" w:cs="Times New Roman"/>
          <w:sz w:val="22"/>
        </w:rPr>
      </w:pPr>
      <w:r>
        <w:rPr>
          <w:rFonts w:ascii="Times New Roman" w:hAnsi="Times New Roman" w:cs="Times New Roman"/>
          <w:sz w:val="22"/>
        </w:rPr>
        <w:t xml:space="preserve">There is a large appetite among Idahoans for ways to address the financial barriers to college. More work can be done to make families aware of college savings plans like </w:t>
      </w:r>
      <w:proofErr w:type="spellStart"/>
      <w:r>
        <w:rPr>
          <w:rFonts w:ascii="Times New Roman" w:hAnsi="Times New Roman" w:cs="Times New Roman"/>
          <w:sz w:val="22"/>
        </w:rPr>
        <w:t>IDeal</w:t>
      </w:r>
      <w:proofErr w:type="spellEnd"/>
      <w:r>
        <w:rPr>
          <w:rFonts w:ascii="Times New Roman" w:hAnsi="Times New Roman" w:cs="Times New Roman"/>
          <w:sz w:val="22"/>
        </w:rPr>
        <w:t xml:space="preserve">, and their advantages.  </w:t>
      </w:r>
      <w:r>
        <w:rPr>
          <w:rFonts w:ascii="Times New Roman" w:hAnsi="Times New Roman" w:cs="Times New Roman"/>
          <w:sz w:val="22"/>
        </w:rPr>
        <w:br/>
      </w:r>
    </w:p>
    <w:p w14:paraId="243DE2A9" w14:textId="77777777" w:rsidR="00031E4A" w:rsidRDefault="00031E4A" w:rsidP="00031E4A">
      <w:pPr>
        <w:pStyle w:val="ListParagraph"/>
        <w:numPr>
          <w:ilvl w:val="0"/>
          <w:numId w:val="1"/>
        </w:numPr>
        <w:rPr>
          <w:rFonts w:ascii="Times New Roman" w:hAnsi="Times New Roman" w:cs="Times New Roman"/>
          <w:sz w:val="22"/>
        </w:rPr>
      </w:pPr>
      <w:r>
        <w:rPr>
          <w:rFonts w:ascii="Times New Roman" w:hAnsi="Times New Roman" w:cs="Times New Roman"/>
          <w:sz w:val="22"/>
        </w:rPr>
        <w:t xml:space="preserve">Current market performance has demonstrated the potential powerful advantages of having an investment account dedicated to helping pay for higher education. </w:t>
      </w:r>
      <w:r>
        <w:rPr>
          <w:rFonts w:ascii="Times New Roman" w:hAnsi="Times New Roman" w:cs="Times New Roman"/>
          <w:sz w:val="22"/>
        </w:rPr>
        <w:br/>
      </w:r>
    </w:p>
    <w:p w14:paraId="752D21C4" w14:textId="42697B47" w:rsidR="00031E4A" w:rsidRDefault="00031E4A" w:rsidP="00031E4A">
      <w:pPr>
        <w:pStyle w:val="ListParagraph"/>
        <w:numPr>
          <w:ilvl w:val="0"/>
          <w:numId w:val="1"/>
        </w:numPr>
        <w:rPr>
          <w:rFonts w:ascii="Times New Roman" w:hAnsi="Times New Roman" w:cs="Times New Roman"/>
          <w:sz w:val="22"/>
        </w:rPr>
      </w:pPr>
      <w:r>
        <w:rPr>
          <w:rFonts w:ascii="Times New Roman" w:hAnsi="Times New Roman" w:cs="Times New Roman"/>
          <w:sz w:val="22"/>
        </w:rPr>
        <w:t xml:space="preserve">Counties that saw a decrease in college savings account ownership can and should consider renewed efforts to help families start saving for college, </w:t>
      </w:r>
      <w:r>
        <w:rPr>
          <w:rFonts w:ascii="Times New Roman" w:hAnsi="Times New Roman" w:cs="Times New Roman"/>
          <w:i/>
          <w:sz w:val="22"/>
        </w:rPr>
        <w:t xml:space="preserve">but </w:t>
      </w:r>
      <w:r>
        <w:rPr>
          <w:rFonts w:ascii="Times New Roman" w:hAnsi="Times New Roman" w:cs="Times New Roman"/>
          <w:sz w:val="22"/>
        </w:rPr>
        <w:t xml:space="preserve">should also consider that a decrease in account ownership may mean that several families used their college savings accounts—which is a cause for celebration in itself. </w:t>
      </w:r>
    </w:p>
    <w:p w14:paraId="5F755B21" w14:textId="77777777" w:rsidR="00031E4A" w:rsidRDefault="00031E4A" w:rsidP="00031E4A">
      <w:pPr>
        <w:rPr>
          <w:b/>
          <w:bCs/>
          <w:color w:val="000000" w:themeColor="text1"/>
          <w:sz w:val="32"/>
        </w:rPr>
      </w:pPr>
    </w:p>
    <w:p w14:paraId="3435F5CD" w14:textId="77777777" w:rsidR="00031E4A" w:rsidRDefault="00031E4A" w:rsidP="00031E4A">
      <w:pPr>
        <w:rPr>
          <w:b/>
          <w:bCs/>
          <w:color w:val="000000" w:themeColor="text1"/>
          <w:sz w:val="32"/>
        </w:rPr>
      </w:pPr>
      <w:r>
        <w:rPr>
          <w:b/>
          <w:bCs/>
          <w:color w:val="000000" w:themeColor="text1"/>
          <w:sz w:val="32"/>
        </w:rPr>
        <w:t xml:space="preserve">How Idaho Families and Leaders </w:t>
      </w:r>
      <w:r>
        <w:rPr>
          <w:b/>
          <w:bCs/>
          <w:color w:val="000000" w:themeColor="text1"/>
          <w:sz w:val="32"/>
        </w:rPr>
        <w:br/>
        <w:t>Can Help Promote College Savings</w:t>
      </w:r>
    </w:p>
    <w:p w14:paraId="15239A22" w14:textId="77777777" w:rsidR="00031E4A" w:rsidRDefault="00031E4A" w:rsidP="00031E4A">
      <w:pPr>
        <w:rPr>
          <w:b/>
          <w:bCs/>
          <w:color w:val="000000" w:themeColor="text1"/>
          <w:sz w:val="32"/>
        </w:rPr>
      </w:pPr>
    </w:p>
    <w:p w14:paraId="11DCC9F8" w14:textId="5DA4C84E" w:rsidR="00031E4A" w:rsidRPr="00A2154B" w:rsidRDefault="00031E4A" w:rsidP="00031E4A">
      <w:pPr>
        <w:rPr>
          <w:sz w:val="22"/>
        </w:rPr>
      </w:pPr>
      <w:r w:rsidRPr="00A2154B">
        <w:rPr>
          <w:sz w:val="22"/>
        </w:rPr>
        <w:t xml:space="preserve">The incremental increase among Idahoans in saving for college demonstrated in this report is the result of work by not only </w:t>
      </w:r>
      <w:proofErr w:type="spellStart"/>
      <w:r w:rsidRPr="00A2154B">
        <w:rPr>
          <w:sz w:val="22"/>
        </w:rPr>
        <w:t>IDeal</w:t>
      </w:r>
      <w:proofErr w:type="spellEnd"/>
      <w:r w:rsidRPr="00A2154B">
        <w:rPr>
          <w:sz w:val="22"/>
        </w:rPr>
        <w:t xml:space="preserve">—Idaho 529 College Savings Program, but also the many community stakeholders, educators, and organizations that have helped </w:t>
      </w:r>
      <w:r w:rsidR="0061445B">
        <w:rPr>
          <w:sz w:val="22"/>
        </w:rPr>
        <w:t>p</w:t>
      </w:r>
      <w:r w:rsidRPr="00A2154B">
        <w:rPr>
          <w:sz w:val="22"/>
        </w:rPr>
        <w:t xml:space="preserve">romote the </w:t>
      </w:r>
      <w:r w:rsidR="0061445B">
        <w:rPr>
          <w:sz w:val="22"/>
        </w:rPr>
        <w:t>P</w:t>
      </w:r>
      <w:r w:rsidRPr="00A2154B">
        <w:rPr>
          <w:sz w:val="22"/>
        </w:rPr>
        <w:t xml:space="preserve">rogram to Idaho families. </w:t>
      </w:r>
    </w:p>
    <w:p w14:paraId="5E3CEABC" w14:textId="77777777" w:rsidR="00031E4A" w:rsidRPr="00A2154B" w:rsidRDefault="00031E4A" w:rsidP="00031E4A">
      <w:pPr>
        <w:rPr>
          <w:sz w:val="22"/>
        </w:rPr>
      </w:pPr>
    </w:p>
    <w:p w14:paraId="62061E9D" w14:textId="3B0C9B4E" w:rsidR="00031E4A" w:rsidRPr="00A2154B" w:rsidRDefault="00031E4A" w:rsidP="00031E4A">
      <w:pPr>
        <w:rPr>
          <w:b/>
          <w:bCs/>
          <w:color w:val="000000" w:themeColor="text1"/>
          <w:sz w:val="32"/>
        </w:rPr>
      </w:pPr>
      <w:r w:rsidRPr="00A2154B">
        <w:rPr>
          <w:sz w:val="22"/>
        </w:rPr>
        <w:t xml:space="preserve">As </w:t>
      </w:r>
      <w:proofErr w:type="spellStart"/>
      <w:r w:rsidRPr="00A2154B">
        <w:rPr>
          <w:sz w:val="22"/>
        </w:rPr>
        <w:t>IDeal</w:t>
      </w:r>
      <w:proofErr w:type="spellEnd"/>
      <w:r w:rsidRPr="00A2154B">
        <w:rPr>
          <w:sz w:val="22"/>
        </w:rPr>
        <w:t xml:space="preserve"> continues our work, we thank those who have supported the </w:t>
      </w:r>
      <w:r w:rsidR="000A0119" w:rsidRPr="00A2154B">
        <w:rPr>
          <w:sz w:val="22"/>
        </w:rPr>
        <w:t>program</w:t>
      </w:r>
      <w:r w:rsidRPr="00A2154B">
        <w:rPr>
          <w:sz w:val="22"/>
        </w:rPr>
        <w:t xml:space="preserve">, and we ask that even more community officials and leaders take the opportunity to spread the word. </w:t>
      </w:r>
    </w:p>
    <w:p w14:paraId="1FD15197" w14:textId="77777777" w:rsidR="00031E4A" w:rsidRPr="00A2154B" w:rsidRDefault="00031E4A" w:rsidP="00031E4A">
      <w:pPr>
        <w:rPr>
          <w:b/>
          <w:bCs/>
          <w:color w:val="000000" w:themeColor="text1"/>
          <w:sz w:val="32"/>
        </w:rPr>
      </w:pPr>
    </w:p>
    <w:p w14:paraId="3C33DE8E" w14:textId="232BCC64" w:rsidR="00031E4A" w:rsidRPr="00A2154B" w:rsidRDefault="00031E4A" w:rsidP="00031E4A">
      <w:pPr>
        <w:pStyle w:val="ListParagraph"/>
        <w:numPr>
          <w:ilvl w:val="0"/>
          <w:numId w:val="2"/>
        </w:numPr>
        <w:rPr>
          <w:rFonts w:ascii="Times New Roman" w:hAnsi="Times New Roman" w:cs="Times New Roman"/>
          <w:bCs/>
          <w:color w:val="000000" w:themeColor="text1"/>
          <w:sz w:val="22"/>
        </w:rPr>
      </w:pPr>
      <w:r w:rsidRPr="00A2154B">
        <w:rPr>
          <w:rFonts w:ascii="Times New Roman" w:hAnsi="Times New Roman" w:cs="Times New Roman"/>
          <w:b/>
          <w:bCs/>
          <w:color w:val="000000" w:themeColor="text1"/>
          <w:sz w:val="22"/>
        </w:rPr>
        <w:t>Give the gift of college savings</w:t>
      </w:r>
      <w:r w:rsidR="0021282F" w:rsidRPr="00A2154B">
        <w:rPr>
          <w:rFonts w:ascii="Times New Roman" w:hAnsi="Times New Roman" w:cs="Times New Roman"/>
          <w:b/>
          <w:bCs/>
          <w:color w:val="000000" w:themeColor="text1"/>
          <w:sz w:val="22"/>
        </w:rPr>
        <w:t>:</w:t>
      </w:r>
      <w:r w:rsidRPr="00A2154B">
        <w:rPr>
          <w:rFonts w:ascii="Times New Roman" w:hAnsi="Times New Roman" w:cs="Times New Roman"/>
          <w:bCs/>
          <w:color w:val="000000" w:themeColor="text1"/>
          <w:sz w:val="22"/>
        </w:rPr>
        <w:br/>
        <w:t>The holiday</w:t>
      </w:r>
      <w:r w:rsidR="000A0119" w:rsidRPr="00A2154B">
        <w:rPr>
          <w:rFonts w:ascii="Times New Roman" w:hAnsi="Times New Roman" w:cs="Times New Roman"/>
          <w:bCs/>
          <w:color w:val="000000" w:themeColor="text1"/>
          <w:sz w:val="22"/>
        </w:rPr>
        <w:t>s or significant life events</w:t>
      </w:r>
      <w:r w:rsidRPr="00A2154B">
        <w:rPr>
          <w:rFonts w:ascii="Times New Roman" w:hAnsi="Times New Roman" w:cs="Times New Roman"/>
          <w:bCs/>
          <w:color w:val="000000" w:themeColor="text1"/>
          <w:sz w:val="22"/>
        </w:rPr>
        <w:t xml:space="preserve"> could be the perfect time to open </w:t>
      </w:r>
      <w:r w:rsidR="00232F09" w:rsidRPr="00A2154B">
        <w:rPr>
          <w:rFonts w:ascii="Times New Roman" w:hAnsi="Times New Roman" w:cs="Times New Roman"/>
          <w:bCs/>
          <w:color w:val="000000" w:themeColor="text1"/>
          <w:sz w:val="22"/>
        </w:rPr>
        <w:t xml:space="preserve">or add to </w:t>
      </w:r>
      <w:r w:rsidRPr="00A2154B">
        <w:rPr>
          <w:rFonts w:ascii="Times New Roman" w:hAnsi="Times New Roman" w:cs="Times New Roman"/>
          <w:bCs/>
          <w:color w:val="000000" w:themeColor="text1"/>
          <w:sz w:val="22"/>
        </w:rPr>
        <w:t>a college savings account for a family member</w:t>
      </w:r>
      <w:r w:rsidR="00232F09" w:rsidRPr="00A2154B">
        <w:rPr>
          <w:rFonts w:ascii="Times New Roman" w:hAnsi="Times New Roman" w:cs="Times New Roman"/>
          <w:bCs/>
          <w:color w:val="000000" w:themeColor="text1"/>
          <w:sz w:val="22"/>
        </w:rPr>
        <w:t xml:space="preserve"> or a friend</w:t>
      </w:r>
      <w:r w:rsidRPr="00A2154B">
        <w:rPr>
          <w:rFonts w:ascii="Times New Roman" w:hAnsi="Times New Roman" w:cs="Times New Roman"/>
          <w:bCs/>
          <w:color w:val="000000" w:themeColor="text1"/>
          <w:sz w:val="22"/>
        </w:rPr>
        <w:t xml:space="preserve">. </w:t>
      </w:r>
      <w:r w:rsidRPr="00A2154B">
        <w:rPr>
          <w:rFonts w:ascii="Times New Roman" w:hAnsi="Times New Roman" w:cs="Times New Roman"/>
          <w:bCs/>
          <w:color w:val="000000" w:themeColor="text1"/>
          <w:sz w:val="22"/>
        </w:rPr>
        <w:br/>
      </w:r>
    </w:p>
    <w:p w14:paraId="06E891BE" w14:textId="5F6A6B69" w:rsidR="0021282F" w:rsidRPr="00A2154B" w:rsidRDefault="0021282F" w:rsidP="00031E4A">
      <w:pPr>
        <w:pStyle w:val="ListParagraph"/>
        <w:numPr>
          <w:ilvl w:val="0"/>
          <w:numId w:val="2"/>
        </w:numPr>
        <w:rPr>
          <w:rFonts w:ascii="Times New Roman" w:hAnsi="Times New Roman" w:cs="Times New Roman"/>
          <w:b/>
          <w:bCs/>
          <w:color w:val="000000" w:themeColor="text1"/>
          <w:sz w:val="22"/>
        </w:rPr>
      </w:pPr>
      <w:r w:rsidRPr="00A2154B">
        <w:rPr>
          <w:rFonts w:ascii="Times New Roman" w:hAnsi="Times New Roman" w:cs="Times New Roman"/>
          <w:b/>
          <w:bCs/>
          <w:color w:val="000000" w:themeColor="text1"/>
          <w:sz w:val="22"/>
        </w:rPr>
        <w:t>Ask for a</w:t>
      </w:r>
      <w:r w:rsidR="004F1400" w:rsidRPr="00A2154B">
        <w:rPr>
          <w:rFonts w:ascii="Times New Roman" w:hAnsi="Times New Roman" w:cs="Times New Roman"/>
          <w:b/>
          <w:bCs/>
          <w:color w:val="000000" w:themeColor="text1"/>
          <w:sz w:val="22"/>
        </w:rPr>
        <w:t xml:space="preserve"> 529</w:t>
      </w:r>
      <w:r w:rsidRPr="00A2154B">
        <w:rPr>
          <w:rFonts w:ascii="Times New Roman" w:hAnsi="Times New Roman" w:cs="Times New Roman"/>
          <w:b/>
          <w:bCs/>
          <w:color w:val="000000" w:themeColor="text1"/>
          <w:sz w:val="22"/>
        </w:rPr>
        <w:t xml:space="preserve"> gift:</w:t>
      </w:r>
    </w:p>
    <w:p w14:paraId="3C73EA43" w14:textId="095E6F82" w:rsidR="00232F09" w:rsidRPr="00A2154B" w:rsidRDefault="00031E4A" w:rsidP="00144BA1">
      <w:pPr>
        <w:ind w:left="720"/>
        <w:rPr>
          <w:bCs/>
          <w:color w:val="000000" w:themeColor="text1"/>
          <w:sz w:val="22"/>
        </w:rPr>
      </w:pPr>
      <w:r w:rsidRPr="00A2154B">
        <w:rPr>
          <w:bCs/>
          <w:color w:val="000000" w:themeColor="text1"/>
          <w:sz w:val="22"/>
        </w:rPr>
        <w:t>If you have a college savings account for a child, ask friends and family to contribute to it in lieu of (or along with) toys</w:t>
      </w:r>
      <w:r w:rsidR="00C21553" w:rsidRPr="00A2154B">
        <w:rPr>
          <w:bCs/>
          <w:color w:val="000000" w:themeColor="text1"/>
          <w:sz w:val="22"/>
        </w:rPr>
        <w:t>.</w:t>
      </w:r>
    </w:p>
    <w:p w14:paraId="2CEDB91D" w14:textId="6CFC41C4" w:rsidR="00031E4A" w:rsidRPr="00A2154B" w:rsidRDefault="00031E4A" w:rsidP="000C1A6E">
      <w:pPr>
        <w:ind w:left="360"/>
        <w:rPr>
          <w:bCs/>
          <w:color w:val="000000" w:themeColor="text1"/>
          <w:sz w:val="22"/>
        </w:rPr>
      </w:pPr>
    </w:p>
    <w:p w14:paraId="4B61BA9F" w14:textId="77777777" w:rsidR="004F1400" w:rsidRPr="00A2154B" w:rsidRDefault="004F1400" w:rsidP="004F1400">
      <w:pPr>
        <w:pStyle w:val="ListParagraph"/>
        <w:numPr>
          <w:ilvl w:val="0"/>
          <w:numId w:val="2"/>
        </w:numPr>
        <w:rPr>
          <w:rFonts w:ascii="Times New Roman" w:hAnsi="Times New Roman" w:cs="Times New Roman"/>
          <w:b/>
          <w:bCs/>
          <w:color w:val="000000" w:themeColor="text1"/>
          <w:sz w:val="22"/>
        </w:rPr>
      </w:pPr>
      <w:r w:rsidRPr="00A2154B">
        <w:rPr>
          <w:rFonts w:ascii="Times New Roman" w:hAnsi="Times New Roman" w:cs="Times New Roman"/>
          <w:b/>
          <w:bCs/>
          <w:color w:val="000000" w:themeColor="text1"/>
          <w:sz w:val="22"/>
        </w:rPr>
        <w:t>Host an information event:</w:t>
      </w:r>
    </w:p>
    <w:p w14:paraId="36E36AF9" w14:textId="1143F399" w:rsidR="00031E4A" w:rsidRPr="00A2154B" w:rsidRDefault="004F1400" w:rsidP="00144BA1">
      <w:pPr>
        <w:ind w:left="720"/>
        <w:rPr>
          <w:bCs/>
          <w:color w:val="000000" w:themeColor="text1"/>
          <w:sz w:val="22"/>
        </w:rPr>
      </w:pPr>
      <w:r w:rsidRPr="00A2154B">
        <w:rPr>
          <w:bCs/>
          <w:color w:val="000000" w:themeColor="text1"/>
          <w:sz w:val="22"/>
        </w:rPr>
        <w:t xml:space="preserve">Invite </w:t>
      </w:r>
      <w:r w:rsidR="00031E4A" w:rsidRPr="00A2154B">
        <w:rPr>
          <w:bCs/>
          <w:color w:val="000000" w:themeColor="text1"/>
          <w:sz w:val="22"/>
        </w:rPr>
        <w:t xml:space="preserve">an </w:t>
      </w:r>
      <w:proofErr w:type="spellStart"/>
      <w:r w:rsidR="00031E4A" w:rsidRPr="00A2154B">
        <w:rPr>
          <w:bCs/>
          <w:color w:val="000000" w:themeColor="text1"/>
          <w:sz w:val="22"/>
        </w:rPr>
        <w:t>IDeal</w:t>
      </w:r>
      <w:proofErr w:type="spellEnd"/>
      <w:r w:rsidR="00031E4A" w:rsidRPr="00A2154B">
        <w:rPr>
          <w:bCs/>
          <w:color w:val="000000" w:themeColor="text1"/>
          <w:sz w:val="22"/>
        </w:rPr>
        <w:t>—Idaho 529 College Savings Program representative to speak at your school or workplace.</w:t>
      </w:r>
      <w:r w:rsidR="00031E4A" w:rsidRPr="00A2154B">
        <w:rPr>
          <w:bCs/>
          <w:color w:val="000000" w:themeColor="text1"/>
          <w:sz w:val="22"/>
        </w:rPr>
        <w:br/>
      </w:r>
    </w:p>
    <w:p w14:paraId="0D8D5FD4" w14:textId="74D3F39B" w:rsidR="0021282F" w:rsidRPr="00A2154B" w:rsidRDefault="00031E4A" w:rsidP="00031E4A">
      <w:pPr>
        <w:pStyle w:val="ListParagraph"/>
        <w:numPr>
          <w:ilvl w:val="0"/>
          <w:numId w:val="2"/>
        </w:numPr>
        <w:rPr>
          <w:rFonts w:ascii="Times New Roman" w:hAnsi="Times New Roman" w:cs="Times New Roman"/>
          <w:b/>
          <w:bCs/>
          <w:color w:val="000000" w:themeColor="text1"/>
          <w:sz w:val="22"/>
        </w:rPr>
      </w:pPr>
      <w:r w:rsidRPr="00A2154B">
        <w:rPr>
          <w:rFonts w:ascii="Times New Roman" w:hAnsi="Times New Roman" w:cs="Times New Roman"/>
          <w:b/>
          <w:bCs/>
          <w:color w:val="000000" w:themeColor="text1"/>
          <w:sz w:val="22"/>
        </w:rPr>
        <w:t xml:space="preserve">Offer </w:t>
      </w:r>
      <w:r w:rsidR="004F1400" w:rsidRPr="00A2154B">
        <w:rPr>
          <w:rFonts w:ascii="Times New Roman" w:hAnsi="Times New Roman" w:cs="Times New Roman"/>
          <w:b/>
          <w:bCs/>
          <w:color w:val="000000" w:themeColor="text1"/>
          <w:sz w:val="22"/>
        </w:rPr>
        <w:t xml:space="preserve">payroll </w:t>
      </w:r>
      <w:r w:rsidRPr="00A2154B">
        <w:rPr>
          <w:rFonts w:ascii="Times New Roman" w:hAnsi="Times New Roman" w:cs="Times New Roman"/>
          <w:b/>
          <w:bCs/>
          <w:color w:val="000000" w:themeColor="text1"/>
          <w:sz w:val="22"/>
        </w:rPr>
        <w:t>direct deposit</w:t>
      </w:r>
      <w:r w:rsidR="0021282F" w:rsidRPr="00A2154B">
        <w:rPr>
          <w:rFonts w:ascii="Times New Roman" w:hAnsi="Times New Roman" w:cs="Times New Roman"/>
          <w:b/>
          <w:bCs/>
          <w:color w:val="000000" w:themeColor="text1"/>
          <w:sz w:val="22"/>
        </w:rPr>
        <w:t>:</w:t>
      </w:r>
    </w:p>
    <w:p w14:paraId="4D8B9957" w14:textId="58FE9923" w:rsidR="00031E4A" w:rsidRPr="00A2154B" w:rsidRDefault="00031E4A" w:rsidP="00144BA1">
      <w:pPr>
        <w:ind w:left="720"/>
        <w:rPr>
          <w:bCs/>
          <w:color w:val="000000" w:themeColor="text1"/>
          <w:sz w:val="22"/>
        </w:rPr>
      </w:pPr>
      <w:proofErr w:type="spellStart"/>
      <w:r w:rsidRPr="00A2154B">
        <w:rPr>
          <w:bCs/>
          <w:color w:val="000000" w:themeColor="text1"/>
          <w:sz w:val="22"/>
        </w:rPr>
        <w:t>IDeal</w:t>
      </w:r>
      <w:proofErr w:type="spellEnd"/>
      <w:r w:rsidRPr="00A2154B">
        <w:rPr>
          <w:bCs/>
          <w:color w:val="000000" w:themeColor="text1"/>
          <w:sz w:val="22"/>
        </w:rPr>
        <w:t xml:space="preserve">—Idaho 529 College Savings accounts </w:t>
      </w:r>
      <w:r w:rsidR="004F1400" w:rsidRPr="00A2154B">
        <w:rPr>
          <w:bCs/>
          <w:color w:val="000000" w:themeColor="text1"/>
          <w:sz w:val="22"/>
        </w:rPr>
        <w:t xml:space="preserve">are a great way to offer a zero-cost </w:t>
      </w:r>
      <w:r w:rsidRPr="00A2154B">
        <w:rPr>
          <w:bCs/>
          <w:color w:val="000000" w:themeColor="text1"/>
          <w:sz w:val="22"/>
        </w:rPr>
        <w:t xml:space="preserve">voluntary benefit to employees. </w:t>
      </w:r>
    </w:p>
    <w:p w14:paraId="7F8671FF" w14:textId="77777777" w:rsidR="00031E4A" w:rsidRPr="00A2154B" w:rsidRDefault="00031E4A" w:rsidP="00031E4A">
      <w:pPr>
        <w:rPr>
          <w:b/>
          <w:bCs/>
          <w:color w:val="000000" w:themeColor="text1"/>
        </w:rPr>
      </w:pPr>
    </w:p>
    <w:p w14:paraId="63D04A35" w14:textId="77777777" w:rsidR="00031E4A" w:rsidRDefault="00031E4A" w:rsidP="00031E4A">
      <w:pPr>
        <w:rPr>
          <w:b/>
          <w:bCs/>
          <w:color w:val="000000" w:themeColor="text1"/>
        </w:rPr>
      </w:pPr>
      <w:r>
        <w:rPr>
          <w:b/>
          <w:bCs/>
          <w:color w:val="000000" w:themeColor="text1"/>
        </w:rPr>
        <w:t>Learn More at IDsaves.org</w:t>
      </w:r>
    </w:p>
    <w:p w14:paraId="48BBB5C9" w14:textId="77777777" w:rsidR="00031E4A" w:rsidRDefault="00031E4A" w:rsidP="00031E4A">
      <w:pPr>
        <w:rPr>
          <w:b/>
          <w:bCs/>
          <w:color w:val="000000" w:themeColor="text1"/>
          <w:sz w:val="32"/>
        </w:rPr>
      </w:pPr>
      <w:r>
        <w:rPr>
          <w:b/>
          <w:bCs/>
          <w:color w:val="000000" w:themeColor="text1"/>
          <w:sz w:val="32"/>
        </w:rPr>
        <w:lastRenderedPageBreak/>
        <w:t>Key Findings: Statewide</w:t>
      </w:r>
    </w:p>
    <w:p w14:paraId="6439B463" w14:textId="77777777" w:rsidR="00031E4A" w:rsidRDefault="00031E4A" w:rsidP="00031E4A">
      <w:pPr>
        <w:rPr>
          <w:b/>
          <w:color w:val="000000" w:themeColor="text1"/>
          <w:sz w:val="32"/>
        </w:rPr>
      </w:pPr>
    </w:p>
    <w:p w14:paraId="14CA280A" w14:textId="03A09F1C" w:rsidR="00031E4A" w:rsidRDefault="00031E4A" w:rsidP="00031E4A">
      <w:pPr>
        <w:rPr>
          <w:b/>
          <w:color w:val="000000" w:themeColor="text1"/>
          <w:sz w:val="22"/>
          <w:szCs w:val="22"/>
        </w:rPr>
      </w:pPr>
      <w:r>
        <w:rPr>
          <w:b/>
          <w:color w:val="000000" w:themeColor="text1"/>
          <w:sz w:val="22"/>
          <w:szCs w:val="22"/>
        </w:rPr>
        <w:t xml:space="preserve">More than </w:t>
      </w:r>
      <w:r w:rsidR="000A0119">
        <w:rPr>
          <w:b/>
          <w:color w:val="000000" w:themeColor="text1"/>
          <w:sz w:val="22"/>
          <w:szCs w:val="22"/>
        </w:rPr>
        <w:t>14</w:t>
      </w:r>
      <w:r>
        <w:rPr>
          <w:b/>
          <w:color w:val="000000" w:themeColor="text1"/>
          <w:sz w:val="22"/>
          <w:szCs w:val="22"/>
        </w:rPr>
        <w:t xml:space="preserve">,000 Idahoans are currently saving for over </w:t>
      </w:r>
      <w:r w:rsidR="000A0119">
        <w:rPr>
          <w:b/>
          <w:color w:val="000000" w:themeColor="text1"/>
          <w:sz w:val="22"/>
          <w:szCs w:val="22"/>
        </w:rPr>
        <w:t>27</w:t>
      </w:r>
      <w:r>
        <w:rPr>
          <w:b/>
          <w:color w:val="000000" w:themeColor="text1"/>
          <w:sz w:val="22"/>
          <w:szCs w:val="22"/>
        </w:rPr>
        <w:t xml:space="preserve">,000 students with </w:t>
      </w:r>
      <w:proofErr w:type="spellStart"/>
      <w:r>
        <w:rPr>
          <w:b/>
          <w:color w:val="000000" w:themeColor="text1"/>
          <w:sz w:val="22"/>
          <w:szCs w:val="22"/>
        </w:rPr>
        <w:t>IDeal</w:t>
      </w:r>
      <w:proofErr w:type="spellEnd"/>
      <w:r>
        <w:rPr>
          <w:b/>
          <w:color w:val="000000" w:themeColor="text1"/>
          <w:sz w:val="22"/>
          <w:szCs w:val="22"/>
        </w:rPr>
        <w:t xml:space="preserve">—Idaho 529 College Savings Program. </w:t>
      </w:r>
    </w:p>
    <w:p w14:paraId="2A6EB497" w14:textId="77777777" w:rsidR="00031E4A" w:rsidRDefault="00031E4A" w:rsidP="00031E4A">
      <w:pPr>
        <w:rPr>
          <w:b/>
          <w:color w:val="000000" w:themeColor="text1"/>
          <w:sz w:val="22"/>
          <w:szCs w:val="22"/>
        </w:rPr>
      </w:pPr>
    </w:p>
    <w:p w14:paraId="7412DE18" w14:textId="15A547C2" w:rsidR="00031E4A" w:rsidRDefault="00031E4A" w:rsidP="00031E4A">
      <w:pPr>
        <w:rPr>
          <w:color w:val="000000" w:themeColor="text1"/>
          <w:sz w:val="22"/>
          <w:szCs w:val="22"/>
        </w:rPr>
      </w:pPr>
      <w:r>
        <w:rPr>
          <w:b/>
          <w:color w:val="000000" w:themeColor="text1"/>
          <w:sz w:val="22"/>
          <w:szCs w:val="22"/>
        </w:rPr>
        <w:t>Idahoans have $</w:t>
      </w:r>
      <w:r w:rsidR="007273FE">
        <w:rPr>
          <w:b/>
          <w:color w:val="000000" w:themeColor="text1"/>
          <w:sz w:val="22"/>
          <w:szCs w:val="22"/>
        </w:rPr>
        <w:t>4</w:t>
      </w:r>
      <w:r w:rsidR="0061445B">
        <w:rPr>
          <w:b/>
          <w:color w:val="000000" w:themeColor="text1"/>
          <w:sz w:val="22"/>
          <w:szCs w:val="22"/>
        </w:rPr>
        <w:t>7</w:t>
      </w:r>
      <w:r w:rsidR="007273FE">
        <w:rPr>
          <w:b/>
          <w:color w:val="000000" w:themeColor="text1"/>
          <w:sz w:val="22"/>
          <w:szCs w:val="22"/>
        </w:rPr>
        <w:t xml:space="preserve"> </w:t>
      </w:r>
      <w:r>
        <w:rPr>
          <w:b/>
          <w:color w:val="000000" w:themeColor="text1"/>
          <w:sz w:val="22"/>
          <w:szCs w:val="22"/>
        </w:rPr>
        <w:t xml:space="preserve">million more in </w:t>
      </w:r>
      <w:proofErr w:type="spellStart"/>
      <w:r>
        <w:rPr>
          <w:b/>
          <w:color w:val="000000" w:themeColor="text1"/>
          <w:sz w:val="22"/>
          <w:szCs w:val="22"/>
        </w:rPr>
        <w:t>IDeal</w:t>
      </w:r>
      <w:proofErr w:type="spellEnd"/>
      <w:r>
        <w:rPr>
          <w:b/>
          <w:color w:val="000000" w:themeColor="text1"/>
          <w:sz w:val="22"/>
          <w:szCs w:val="22"/>
        </w:rPr>
        <w:t xml:space="preserve"> college savings accounts than they did this time last year. </w:t>
      </w:r>
      <w:r>
        <w:rPr>
          <w:color w:val="000000" w:themeColor="text1"/>
          <w:sz w:val="22"/>
          <w:szCs w:val="22"/>
        </w:rPr>
        <w:t>This increase can be attributed in great part to market performance</w:t>
      </w:r>
      <w:r w:rsidR="003B15FA">
        <w:rPr>
          <w:color w:val="000000" w:themeColor="text1"/>
          <w:sz w:val="22"/>
          <w:szCs w:val="22"/>
        </w:rPr>
        <w:t xml:space="preserve"> and conditions</w:t>
      </w:r>
      <w:r>
        <w:rPr>
          <w:color w:val="000000" w:themeColor="text1"/>
          <w:sz w:val="22"/>
          <w:szCs w:val="22"/>
        </w:rPr>
        <w:t xml:space="preserve">. </w:t>
      </w:r>
      <w:proofErr w:type="spellStart"/>
      <w:r>
        <w:rPr>
          <w:color w:val="000000" w:themeColor="text1"/>
          <w:sz w:val="22"/>
          <w:szCs w:val="22"/>
        </w:rPr>
        <w:t>IDeal</w:t>
      </w:r>
      <w:proofErr w:type="spellEnd"/>
      <w:r>
        <w:rPr>
          <w:color w:val="000000" w:themeColor="text1"/>
          <w:sz w:val="22"/>
          <w:szCs w:val="22"/>
        </w:rPr>
        <w:t xml:space="preserve"> allows families to invest as a way to potentially save more money for higher education expenses, as well as receive Idaho state tax benefits. Savers have an average of nearly $14,000 in their accounts.</w:t>
      </w:r>
    </w:p>
    <w:p w14:paraId="12DF2560" w14:textId="77777777" w:rsidR="00031E4A" w:rsidRDefault="00031E4A" w:rsidP="00031E4A">
      <w:pPr>
        <w:rPr>
          <w:color w:val="000000" w:themeColor="text1"/>
          <w:sz w:val="22"/>
          <w:szCs w:val="22"/>
        </w:rPr>
      </w:pPr>
    </w:p>
    <w:p w14:paraId="15A981A9" w14:textId="0A4F6B91" w:rsidR="00031E4A" w:rsidRDefault="00031E4A" w:rsidP="00031E4A">
      <w:pPr>
        <w:rPr>
          <w:color w:val="000000" w:themeColor="text1"/>
          <w:sz w:val="22"/>
          <w:szCs w:val="22"/>
        </w:rPr>
      </w:pPr>
      <w:r>
        <w:rPr>
          <w:b/>
          <w:color w:val="000000" w:themeColor="text1"/>
          <w:sz w:val="22"/>
          <w:szCs w:val="22"/>
        </w:rPr>
        <w:t xml:space="preserve">Saving for college is on the rise among Idahoans. </w:t>
      </w:r>
      <w:r>
        <w:rPr>
          <w:color w:val="000000" w:themeColor="text1"/>
          <w:sz w:val="22"/>
          <w:szCs w:val="22"/>
        </w:rPr>
        <w:t xml:space="preserve">Over the past year, the total number of </w:t>
      </w:r>
      <w:proofErr w:type="spellStart"/>
      <w:r>
        <w:rPr>
          <w:color w:val="000000" w:themeColor="text1"/>
          <w:sz w:val="22"/>
          <w:szCs w:val="22"/>
        </w:rPr>
        <w:t>IDeal</w:t>
      </w:r>
      <w:proofErr w:type="spellEnd"/>
      <w:r>
        <w:rPr>
          <w:color w:val="000000" w:themeColor="text1"/>
          <w:sz w:val="22"/>
          <w:szCs w:val="22"/>
        </w:rPr>
        <w:t xml:space="preserve"> college savings accounts held by Idahoans grew</w:t>
      </w:r>
      <w:r w:rsidR="000A0119">
        <w:rPr>
          <w:color w:val="000000" w:themeColor="text1"/>
          <w:sz w:val="22"/>
          <w:szCs w:val="22"/>
        </w:rPr>
        <w:t xml:space="preserve"> by</w:t>
      </w:r>
      <w:r>
        <w:rPr>
          <w:color w:val="000000" w:themeColor="text1"/>
          <w:sz w:val="22"/>
          <w:szCs w:val="22"/>
        </w:rPr>
        <w:t xml:space="preserve"> </w:t>
      </w:r>
      <w:r w:rsidR="004A4612">
        <w:rPr>
          <w:color w:val="000000" w:themeColor="text1"/>
          <w:sz w:val="22"/>
          <w:szCs w:val="22"/>
        </w:rPr>
        <w:t>3</w:t>
      </w:r>
      <w:proofErr w:type="gramStart"/>
      <w:r>
        <w:rPr>
          <w:color w:val="000000" w:themeColor="text1"/>
          <w:sz w:val="22"/>
          <w:szCs w:val="22"/>
        </w:rPr>
        <w:t>%.*</w:t>
      </w:r>
      <w:proofErr w:type="gramEnd"/>
      <w:r>
        <w:rPr>
          <w:color w:val="000000" w:themeColor="text1"/>
          <w:sz w:val="22"/>
          <w:szCs w:val="22"/>
        </w:rPr>
        <w:t xml:space="preserve"> </w:t>
      </w:r>
    </w:p>
    <w:p w14:paraId="2111ED53" w14:textId="77777777" w:rsidR="00DB308E" w:rsidRDefault="00DB308E" w:rsidP="00031E4A">
      <w:pPr>
        <w:rPr>
          <w:color w:val="000000" w:themeColor="text1"/>
          <w:sz w:val="22"/>
          <w:szCs w:val="22"/>
        </w:rPr>
      </w:pPr>
    </w:p>
    <w:p w14:paraId="206773FA" w14:textId="23DE3EFE" w:rsidR="00DB308E" w:rsidRDefault="00DB308E" w:rsidP="00031E4A">
      <w:pPr>
        <w:rPr>
          <w:color w:val="000000" w:themeColor="text1"/>
          <w:sz w:val="22"/>
          <w:szCs w:val="22"/>
        </w:rPr>
      </w:pPr>
      <w:r>
        <w:rPr>
          <w:color w:val="000000" w:themeColor="text1"/>
          <w:sz w:val="22"/>
          <w:szCs w:val="22"/>
        </w:rPr>
        <w:t>Idahoans used $</w:t>
      </w:r>
      <w:r w:rsidR="004A4612">
        <w:rPr>
          <w:color w:val="000000" w:themeColor="text1"/>
          <w:sz w:val="22"/>
          <w:szCs w:val="22"/>
        </w:rPr>
        <w:t>28.5</w:t>
      </w:r>
      <w:r>
        <w:rPr>
          <w:color w:val="000000" w:themeColor="text1"/>
          <w:sz w:val="22"/>
          <w:szCs w:val="22"/>
        </w:rPr>
        <w:t xml:space="preserve"> million saved through </w:t>
      </w:r>
      <w:proofErr w:type="spellStart"/>
      <w:r>
        <w:rPr>
          <w:color w:val="000000" w:themeColor="text1"/>
          <w:sz w:val="22"/>
          <w:szCs w:val="22"/>
        </w:rPr>
        <w:t>IDeal</w:t>
      </w:r>
      <w:proofErr w:type="spellEnd"/>
      <w:r>
        <w:rPr>
          <w:color w:val="000000" w:themeColor="text1"/>
          <w:sz w:val="22"/>
          <w:szCs w:val="22"/>
        </w:rPr>
        <w:t xml:space="preserve"> toward higher education over the past year.</w:t>
      </w:r>
    </w:p>
    <w:p w14:paraId="22DFE333" w14:textId="77777777" w:rsidR="00031E4A" w:rsidRDefault="00031E4A" w:rsidP="00031E4A">
      <w:pPr>
        <w:rPr>
          <w:color w:val="000000" w:themeColor="text1"/>
          <w:sz w:val="22"/>
          <w:szCs w:val="22"/>
        </w:rPr>
      </w:pPr>
    </w:p>
    <w:p w14:paraId="021BD4DA" w14:textId="20235B49" w:rsidR="00031E4A" w:rsidRDefault="00031E4A" w:rsidP="00031E4A">
      <w:pPr>
        <w:rPr>
          <w:color w:val="000000" w:themeColor="text1"/>
          <w:sz w:val="22"/>
          <w:szCs w:val="22"/>
        </w:rPr>
      </w:pPr>
      <w:r>
        <w:rPr>
          <w:color w:val="000000" w:themeColor="text1"/>
          <w:sz w:val="22"/>
          <w:szCs w:val="22"/>
        </w:rPr>
        <w:t xml:space="preserve">Approximately </w:t>
      </w:r>
      <w:r w:rsidR="007361DF">
        <w:rPr>
          <w:b/>
          <w:color w:val="000000" w:themeColor="text1"/>
          <w:sz w:val="22"/>
          <w:szCs w:val="22"/>
        </w:rPr>
        <w:t>80</w:t>
      </w:r>
      <w:r>
        <w:rPr>
          <w:b/>
          <w:color w:val="000000" w:themeColor="text1"/>
          <w:sz w:val="22"/>
          <w:szCs w:val="22"/>
        </w:rPr>
        <w:t>0 more Idaho students have someone saving for their future college costs</w:t>
      </w:r>
      <w:r>
        <w:rPr>
          <w:color w:val="000000" w:themeColor="text1"/>
          <w:sz w:val="22"/>
          <w:szCs w:val="22"/>
        </w:rPr>
        <w:t xml:space="preserve"> today than this time last </w:t>
      </w:r>
      <w:proofErr w:type="gramStart"/>
      <w:r>
        <w:rPr>
          <w:color w:val="000000" w:themeColor="text1"/>
          <w:sz w:val="22"/>
          <w:szCs w:val="22"/>
        </w:rPr>
        <w:t>year.*</w:t>
      </w:r>
      <w:proofErr w:type="gramEnd"/>
      <w:r>
        <w:rPr>
          <w:color w:val="000000" w:themeColor="text1"/>
          <w:sz w:val="22"/>
          <w:szCs w:val="22"/>
        </w:rPr>
        <w:t xml:space="preserve"> </w:t>
      </w:r>
    </w:p>
    <w:p w14:paraId="00C160F4" w14:textId="77777777" w:rsidR="00031E4A" w:rsidRDefault="00031E4A" w:rsidP="00031E4A">
      <w:pPr>
        <w:rPr>
          <w:color w:val="000000" w:themeColor="text1"/>
          <w:sz w:val="22"/>
          <w:szCs w:val="22"/>
        </w:rPr>
      </w:pPr>
    </w:p>
    <w:p w14:paraId="15B11523" w14:textId="763C3C8F" w:rsidR="00031E4A" w:rsidRPr="008A5521" w:rsidRDefault="00031E4A" w:rsidP="00031E4A">
      <w:pPr>
        <w:rPr>
          <w:i/>
          <w:color w:val="000000" w:themeColor="text1"/>
          <w:sz w:val="22"/>
          <w:szCs w:val="22"/>
        </w:rPr>
      </w:pPr>
      <w:r w:rsidRPr="008A5521">
        <w:rPr>
          <w:i/>
          <w:color w:val="000000" w:themeColor="text1"/>
          <w:sz w:val="22"/>
          <w:szCs w:val="22"/>
        </w:rPr>
        <w:t xml:space="preserve">*These are net numbers. Over the same period, </w:t>
      </w:r>
      <w:r w:rsidR="004A4612" w:rsidRPr="008A5521">
        <w:rPr>
          <w:i/>
          <w:color w:val="000000" w:themeColor="text1"/>
          <w:sz w:val="22"/>
          <w:szCs w:val="22"/>
        </w:rPr>
        <w:t>over 1,</w:t>
      </w:r>
      <w:r w:rsidR="007273FE" w:rsidRPr="008A5521">
        <w:rPr>
          <w:i/>
          <w:color w:val="000000" w:themeColor="text1"/>
          <w:sz w:val="22"/>
          <w:szCs w:val="22"/>
        </w:rPr>
        <w:t>2</w:t>
      </w:r>
      <w:r w:rsidR="004A4612" w:rsidRPr="008A5521">
        <w:rPr>
          <w:i/>
          <w:color w:val="000000" w:themeColor="text1"/>
          <w:sz w:val="22"/>
          <w:szCs w:val="22"/>
        </w:rPr>
        <w:t>00</w:t>
      </w:r>
      <w:r w:rsidR="00DB308E" w:rsidRPr="008A5521">
        <w:rPr>
          <w:i/>
          <w:color w:val="000000" w:themeColor="text1"/>
          <w:sz w:val="22"/>
          <w:szCs w:val="22"/>
        </w:rPr>
        <w:t xml:space="preserve"> </w:t>
      </w:r>
      <w:r w:rsidR="009D672A" w:rsidRPr="008A5521">
        <w:rPr>
          <w:i/>
          <w:color w:val="000000" w:themeColor="text1"/>
          <w:sz w:val="22"/>
          <w:szCs w:val="22"/>
        </w:rPr>
        <w:t>I</w:t>
      </w:r>
      <w:r w:rsidRPr="008A5521">
        <w:rPr>
          <w:i/>
          <w:color w:val="000000" w:themeColor="text1"/>
          <w:sz w:val="22"/>
          <w:szCs w:val="22"/>
        </w:rPr>
        <w:t xml:space="preserve">dahoans also used their college savings and closed their accounts. </w:t>
      </w:r>
      <w:r w:rsidR="003D5380" w:rsidRPr="008A5521">
        <w:rPr>
          <w:i/>
          <w:color w:val="000000" w:themeColor="text1"/>
          <w:sz w:val="22"/>
          <w:szCs w:val="22"/>
        </w:rPr>
        <w:br/>
      </w:r>
    </w:p>
    <w:p w14:paraId="3C38A224" w14:textId="77777777" w:rsidR="003D5380" w:rsidRDefault="00031E4A" w:rsidP="003D5380">
      <w:pPr>
        <w:rPr>
          <w:b/>
          <w:bCs/>
          <w:color w:val="000000" w:themeColor="text1"/>
          <w:sz w:val="28"/>
        </w:rPr>
      </w:pPr>
      <w:r>
        <w:rPr>
          <w:color w:val="000000" w:themeColor="text1"/>
          <w:sz w:val="22"/>
          <w:szCs w:val="22"/>
        </w:rPr>
        <w:br/>
      </w:r>
      <w:r w:rsidR="003D5380">
        <w:rPr>
          <w:b/>
          <w:bCs/>
          <w:color w:val="000000" w:themeColor="text1"/>
          <w:sz w:val="32"/>
          <w:szCs w:val="22"/>
        </w:rPr>
        <w:t xml:space="preserve">Statewide Beliefs about College Financial </w:t>
      </w:r>
      <w:r w:rsidR="003D5380" w:rsidRPr="00144BA1">
        <w:rPr>
          <w:b/>
          <w:bCs/>
          <w:color w:val="000000" w:themeColor="text1"/>
          <w:sz w:val="32"/>
          <w:szCs w:val="22"/>
        </w:rPr>
        <w:t>Preparedness</w:t>
      </w:r>
    </w:p>
    <w:p w14:paraId="63B11FBC" w14:textId="77777777" w:rsidR="003D5380" w:rsidRDefault="003D5380" w:rsidP="003D5380">
      <w:pPr>
        <w:rPr>
          <w:color w:val="000000" w:themeColor="text1"/>
          <w:sz w:val="22"/>
          <w:szCs w:val="22"/>
        </w:rPr>
      </w:pPr>
    </w:p>
    <w:p w14:paraId="1D1B5547" w14:textId="77777777" w:rsidR="003D5380" w:rsidRDefault="003D5380" w:rsidP="003D5380">
      <w:pPr>
        <w:rPr>
          <w:color w:val="000000" w:themeColor="text1"/>
          <w:sz w:val="22"/>
          <w:szCs w:val="22"/>
        </w:rPr>
      </w:pPr>
      <w:r>
        <w:rPr>
          <w:color w:val="000000" w:themeColor="text1"/>
          <w:sz w:val="22"/>
          <w:szCs w:val="22"/>
        </w:rPr>
        <w:t xml:space="preserve">In 2017, </w:t>
      </w:r>
      <w:proofErr w:type="spellStart"/>
      <w:r>
        <w:rPr>
          <w:color w:val="000000" w:themeColor="text1"/>
          <w:sz w:val="22"/>
          <w:szCs w:val="22"/>
        </w:rPr>
        <w:t>IDeal</w:t>
      </w:r>
      <w:proofErr w:type="spellEnd"/>
      <w:r>
        <w:rPr>
          <w:color w:val="000000" w:themeColor="text1"/>
          <w:sz w:val="22"/>
          <w:szCs w:val="22"/>
        </w:rPr>
        <w:t xml:space="preserve">—Idaho College Savings Program surveyed over 500 Idahoans to understand attitudes toward and awareness of college savings. All participants were parents or grandparents of a child aged 0-18. The survey’s margin of error is +/- 4%. </w:t>
      </w:r>
    </w:p>
    <w:p w14:paraId="3CA34070" w14:textId="77777777" w:rsidR="003D5380" w:rsidRDefault="003D5380" w:rsidP="003D5380">
      <w:pPr>
        <w:rPr>
          <w:color w:val="000000" w:themeColor="text1"/>
          <w:sz w:val="22"/>
          <w:szCs w:val="22"/>
        </w:rPr>
      </w:pPr>
    </w:p>
    <w:p w14:paraId="5DEBD2A4" w14:textId="77777777" w:rsidR="003D5380" w:rsidRDefault="003D5380" w:rsidP="003D5380">
      <w:pPr>
        <w:rPr>
          <w:color w:val="000000" w:themeColor="text1"/>
          <w:sz w:val="22"/>
          <w:szCs w:val="22"/>
        </w:rPr>
      </w:pPr>
      <w:r>
        <w:rPr>
          <w:color w:val="000000" w:themeColor="text1"/>
          <w:sz w:val="22"/>
          <w:szCs w:val="22"/>
        </w:rPr>
        <w:t>Findings from the survey included the following:</w:t>
      </w:r>
    </w:p>
    <w:p w14:paraId="3AFCC222" w14:textId="77777777" w:rsidR="003D5380" w:rsidRDefault="003D5380" w:rsidP="003D5380">
      <w:pPr>
        <w:rPr>
          <w:color w:val="000000" w:themeColor="text1"/>
          <w:sz w:val="22"/>
          <w:szCs w:val="22"/>
        </w:rPr>
      </w:pPr>
    </w:p>
    <w:p w14:paraId="0DB0630D" w14:textId="77777777" w:rsidR="003D5380" w:rsidRDefault="003D5380" w:rsidP="003D5380">
      <w:pPr>
        <w:pStyle w:val="ListParagraph"/>
        <w:numPr>
          <w:ilvl w:val="0"/>
          <w:numId w:val="4"/>
        </w:numP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Idaho parents care about helping their children pay for higher education.</w:t>
      </w:r>
      <w:r>
        <w:rPr>
          <w:rFonts w:ascii="Times New Roman" w:hAnsi="Times New Roman" w:cs="Times New Roman"/>
          <w:color w:val="000000" w:themeColor="text1"/>
          <w:sz w:val="22"/>
          <w:szCs w:val="22"/>
        </w:rPr>
        <w:t xml:space="preserve"> Only three percent of surveyed parents who do </w:t>
      </w:r>
      <w:r>
        <w:rPr>
          <w:rFonts w:ascii="Times New Roman" w:hAnsi="Times New Roman" w:cs="Times New Roman"/>
          <w:i/>
          <w:color w:val="000000" w:themeColor="text1"/>
          <w:sz w:val="22"/>
          <w:szCs w:val="22"/>
        </w:rPr>
        <w:t>not</w:t>
      </w:r>
      <w:r>
        <w:rPr>
          <w:rFonts w:ascii="Times New Roman" w:hAnsi="Times New Roman" w:cs="Times New Roman"/>
          <w:color w:val="000000" w:themeColor="text1"/>
          <w:sz w:val="22"/>
          <w:szCs w:val="22"/>
        </w:rPr>
        <w:t xml:space="preserve"> have a college savings plan indicated that they don’t believe it’s their responsibility to help pay for college.</w:t>
      </w:r>
      <w:r>
        <w:rPr>
          <w:rFonts w:ascii="Times New Roman" w:hAnsi="Times New Roman" w:cs="Times New Roman"/>
          <w:color w:val="000000" w:themeColor="text1"/>
          <w:sz w:val="22"/>
          <w:szCs w:val="22"/>
        </w:rPr>
        <w:br/>
      </w:r>
    </w:p>
    <w:p w14:paraId="42D4B540" w14:textId="77777777" w:rsidR="003D5380" w:rsidRDefault="003D5380" w:rsidP="003D5380">
      <w:pPr>
        <w:pStyle w:val="ListParagraph"/>
        <w:numPr>
          <w:ilvl w:val="0"/>
          <w:numId w:val="4"/>
        </w:numP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Idahoans don’t think of college savings plans first when they think about how to pay for college. </w:t>
      </w:r>
      <w:r>
        <w:rPr>
          <w:rFonts w:ascii="Times New Roman" w:hAnsi="Times New Roman" w:cs="Times New Roman"/>
          <w:color w:val="000000" w:themeColor="text1"/>
          <w:sz w:val="22"/>
          <w:szCs w:val="22"/>
        </w:rPr>
        <w:t>College savings plans rank behind regular savings accounts, grants and scholarships, and federal and private student loans in terms of statewide awareness of vehicles to finance higher education.</w:t>
      </w:r>
      <w:r>
        <w:rPr>
          <w:rFonts w:ascii="Times New Roman" w:hAnsi="Times New Roman" w:cs="Times New Roman"/>
          <w:color w:val="000000" w:themeColor="text1"/>
          <w:sz w:val="22"/>
          <w:szCs w:val="22"/>
        </w:rPr>
        <w:br/>
      </w:r>
    </w:p>
    <w:p w14:paraId="753A35AF" w14:textId="77777777" w:rsidR="003D5380" w:rsidRPr="00144BA1" w:rsidRDefault="003D5380" w:rsidP="003D5380">
      <w:pPr>
        <w:pStyle w:val="ListParagraph"/>
        <w:numPr>
          <w:ilvl w:val="0"/>
          <w:numId w:val="4"/>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8 in 10 Idaho parents and grandparents are not aware of the available state tax deduction for contributions to Idaho’s 529 program. </w:t>
      </w:r>
      <w:r>
        <w:rPr>
          <w:rFonts w:ascii="Times New Roman" w:hAnsi="Times New Roman" w:cs="Times New Roman"/>
          <w:color w:val="000000" w:themeColor="text1"/>
          <w:sz w:val="22"/>
          <w:szCs w:val="22"/>
        </w:rPr>
        <w:t xml:space="preserve">Idaho taxpayers may deduct up to $6,000 (single filers) or $12,000 (married filing jointly) for contributions to any </w:t>
      </w:r>
      <w:proofErr w:type="spellStart"/>
      <w:r>
        <w:rPr>
          <w:rFonts w:ascii="Times New Roman" w:hAnsi="Times New Roman" w:cs="Times New Roman"/>
          <w:color w:val="000000" w:themeColor="text1"/>
          <w:sz w:val="22"/>
          <w:szCs w:val="22"/>
        </w:rPr>
        <w:t>IDeal</w:t>
      </w:r>
      <w:proofErr w:type="spellEnd"/>
      <w:r>
        <w:rPr>
          <w:rFonts w:ascii="Times New Roman" w:hAnsi="Times New Roman" w:cs="Times New Roman"/>
          <w:color w:val="000000" w:themeColor="text1"/>
          <w:sz w:val="22"/>
          <w:szCs w:val="22"/>
        </w:rPr>
        <w:t xml:space="preserve">—Idaho 529 College Savings Program accounts. </w:t>
      </w:r>
    </w:p>
    <w:p w14:paraId="641F14F8" w14:textId="77777777" w:rsidR="00144BA1" w:rsidRDefault="00144BA1" w:rsidP="00144BA1">
      <w:pPr>
        <w:pStyle w:val="ListParagraph"/>
        <w:rPr>
          <w:rFonts w:ascii="Times New Roman" w:hAnsi="Times New Roman" w:cs="Times New Roman"/>
          <w:b/>
          <w:color w:val="000000" w:themeColor="text1"/>
          <w:sz w:val="22"/>
          <w:szCs w:val="22"/>
        </w:rPr>
      </w:pPr>
    </w:p>
    <w:p w14:paraId="4584956F" w14:textId="33D61A62" w:rsidR="00031E4A" w:rsidRDefault="003D5380" w:rsidP="003D5380">
      <w:pPr>
        <w:pBdr>
          <w:bottom w:val="single" w:sz="6" w:space="31" w:color="auto"/>
        </w:pBdr>
        <w:rPr>
          <w:color w:val="000000" w:themeColor="text1"/>
          <w:sz w:val="22"/>
          <w:szCs w:val="22"/>
        </w:rPr>
      </w:pPr>
      <w:r>
        <w:rPr>
          <w:b/>
          <w:color w:val="000000" w:themeColor="text1"/>
        </w:rPr>
        <w:t xml:space="preserve">There is a clear appetite among Idaho families for tools to help address college costs—and therefore more work to be done to spread the word about </w:t>
      </w:r>
      <w:proofErr w:type="spellStart"/>
      <w:r>
        <w:rPr>
          <w:b/>
          <w:color w:val="000000" w:themeColor="text1"/>
        </w:rPr>
        <w:t>IDeal</w:t>
      </w:r>
      <w:proofErr w:type="spellEnd"/>
      <w:r>
        <w:rPr>
          <w:b/>
          <w:color w:val="000000" w:themeColor="text1"/>
        </w:rPr>
        <w:t xml:space="preserve">. </w:t>
      </w:r>
      <w:r w:rsidR="00031E4A">
        <w:rPr>
          <w:color w:val="000000" w:themeColor="text1"/>
          <w:sz w:val="22"/>
          <w:szCs w:val="22"/>
        </w:rPr>
        <w:br w:type="page"/>
      </w:r>
    </w:p>
    <w:p w14:paraId="0A65931C" w14:textId="77777777" w:rsidR="00031E4A" w:rsidRDefault="00031E4A" w:rsidP="00031E4A">
      <w:pPr>
        <w:rPr>
          <w:b/>
          <w:bCs/>
          <w:color w:val="000000" w:themeColor="text1"/>
          <w:sz w:val="32"/>
          <w:szCs w:val="32"/>
        </w:rPr>
      </w:pPr>
      <w:r>
        <w:rPr>
          <w:b/>
          <w:bCs/>
          <w:color w:val="000000" w:themeColor="text1"/>
          <w:sz w:val="32"/>
          <w:szCs w:val="32"/>
        </w:rPr>
        <w:lastRenderedPageBreak/>
        <w:t>Regional Comparisons</w:t>
      </w:r>
    </w:p>
    <w:p w14:paraId="75C93F4F" w14:textId="77777777" w:rsidR="00031E4A" w:rsidRDefault="00031E4A" w:rsidP="00031E4A">
      <w:pPr>
        <w:rPr>
          <w:color w:val="000000" w:themeColor="text1"/>
          <w:sz w:val="22"/>
          <w:szCs w:val="22"/>
        </w:rPr>
      </w:pPr>
      <w:r>
        <w:rPr>
          <w:noProof/>
        </w:rPr>
        <mc:AlternateContent>
          <mc:Choice Requires="wps">
            <w:drawing>
              <wp:anchor distT="0" distB="0" distL="114300" distR="114300" simplePos="0" relativeHeight="251660288" behindDoc="0" locked="0" layoutInCell="1" allowOverlap="1" wp14:anchorId="70E09476" wp14:editId="3C8C7992">
                <wp:simplePos x="0" y="0"/>
                <wp:positionH relativeFrom="column">
                  <wp:posOffset>1912620</wp:posOffset>
                </wp:positionH>
                <wp:positionV relativeFrom="paragraph">
                  <wp:posOffset>17780</wp:posOffset>
                </wp:positionV>
                <wp:extent cx="4573270" cy="310134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4573270" cy="310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6940" w:type="dxa"/>
                              <w:tblBorders>
                                <w:insideH w:val="single" w:sz="4" w:space="0" w:color="auto"/>
                              </w:tblBorders>
                              <w:tblLayout w:type="fixed"/>
                              <w:tblLook w:val="04A0" w:firstRow="1" w:lastRow="0" w:firstColumn="1" w:lastColumn="0" w:noHBand="0" w:noVBand="1"/>
                            </w:tblPr>
                            <w:tblGrid>
                              <w:gridCol w:w="1180"/>
                              <w:gridCol w:w="1440"/>
                              <w:gridCol w:w="1440"/>
                              <w:gridCol w:w="1440"/>
                              <w:gridCol w:w="1440"/>
                            </w:tblGrid>
                            <w:tr w:rsidR="001C2D10" w:rsidRPr="007273FE" w14:paraId="70F1A095" w14:textId="77777777" w:rsidTr="003D5380">
                              <w:trPr>
                                <w:trHeight w:val="1333"/>
                              </w:trPr>
                              <w:tc>
                                <w:tcPr>
                                  <w:tcW w:w="1179" w:type="dxa"/>
                                  <w:tcBorders>
                                    <w:top w:val="nil"/>
                                    <w:left w:val="nil"/>
                                    <w:bottom w:val="single" w:sz="4" w:space="0" w:color="auto"/>
                                    <w:right w:val="nil"/>
                                  </w:tcBorders>
                                  <w:shd w:val="clear" w:color="auto" w:fill="auto"/>
                                  <w:noWrap/>
                                  <w:vAlign w:val="center"/>
                                  <w:hideMark/>
                                </w:tcPr>
                                <w:p w14:paraId="2A13E1C4" w14:textId="77777777" w:rsidR="001C2D10" w:rsidRDefault="001C2D10">
                                  <w:pPr>
                                    <w:jc w:val="center"/>
                                    <w:rPr>
                                      <w:rFonts w:ascii="Futura PT Book" w:hAnsi="Futura PT Book" w:cstheme="minorBidi"/>
                                      <w:sz w:val="20"/>
                                      <w:szCs w:val="20"/>
                                    </w:rPr>
                                  </w:pPr>
                                  <w:r>
                                    <w:rPr>
                                      <w:rFonts w:ascii="Futura PT Book" w:hAnsi="Futura PT Book" w:cstheme="minorBidi"/>
                                      <w:sz w:val="20"/>
                                      <w:szCs w:val="20"/>
                                    </w:rPr>
                                    <w:t>Regions</w:t>
                                  </w:r>
                                </w:p>
                              </w:tc>
                              <w:tc>
                                <w:tcPr>
                                  <w:tcW w:w="1440" w:type="dxa"/>
                                  <w:tcBorders>
                                    <w:top w:val="nil"/>
                                    <w:left w:val="nil"/>
                                    <w:bottom w:val="single" w:sz="4" w:space="0" w:color="auto"/>
                                    <w:right w:val="nil"/>
                                  </w:tcBorders>
                                  <w:shd w:val="clear" w:color="auto" w:fill="auto"/>
                                  <w:vAlign w:val="center"/>
                                  <w:hideMark/>
                                </w:tcPr>
                                <w:p w14:paraId="57C8E721" w14:textId="77777777" w:rsid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Total Accounts Per Capita</w:t>
                                  </w:r>
                                </w:p>
                              </w:tc>
                              <w:tc>
                                <w:tcPr>
                                  <w:tcW w:w="1440" w:type="dxa"/>
                                  <w:tcBorders>
                                    <w:top w:val="nil"/>
                                    <w:left w:val="nil"/>
                                    <w:bottom w:val="single" w:sz="4" w:space="0" w:color="auto"/>
                                    <w:right w:val="nil"/>
                                  </w:tcBorders>
                                  <w:shd w:val="clear" w:color="auto" w:fill="auto"/>
                                  <w:noWrap/>
                                  <w:vAlign w:val="center"/>
                                  <w:hideMark/>
                                </w:tcPr>
                                <w:p w14:paraId="5157CF67" w14:textId="00BE94C7" w:rsidR="001C2D10" w:rsidRDefault="0061445B" w:rsidP="0061445B">
                                  <w:pPr>
                                    <w:jc w:val="center"/>
                                    <w:rPr>
                                      <w:rFonts w:ascii="Futura PT Book" w:eastAsia="Times New Roman" w:hAnsi="Futura PT Book"/>
                                      <w:color w:val="000000"/>
                                      <w:sz w:val="20"/>
                                      <w:szCs w:val="20"/>
                                    </w:rPr>
                                  </w:pPr>
                                  <w:r>
                                    <w:rPr>
                                      <w:rFonts w:ascii="Futura PT Book" w:eastAsia="Times New Roman" w:hAnsi="Futura PT Book"/>
                                      <w:b/>
                                      <w:color w:val="000000"/>
                                      <w:sz w:val="20"/>
                                      <w:szCs w:val="20"/>
                                    </w:rPr>
                                    <w:t>Beneficiary Accoun</w:t>
                                  </w:r>
                                  <w:r w:rsidR="001C2D10">
                                    <w:rPr>
                                      <w:rFonts w:ascii="Futura PT Book" w:eastAsia="Times New Roman" w:hAnsi="Futura PT Book"/>
                                      <w:b/>
                                      <w:color w:val="000000"/>
                                      <w:sz w:val="20"/>
                                      <w:szCs w:val="20"/>
                                    </w:rPr>
                                    <w:t>ts</w:t>
                                  </w:r>
                                  <w:r w:rsidR="001C2D10">
                                    <w:rPr>
                                      <w:rFonts w:ascii="Futura PT Book" w:eastAsia="Times New Roman" w:hAnsi="Futura PT Book"/>
                                      <w:color w:val="000000"/>
                                      <w:sz w:val="20"/>
                                      <w:szCs w:val="20"/>
                                    </w:rPr>
                                    <w:t>: Year Over Year Growth</w:t>
                                  </w:r>
                                </w:p>
                              </w:tc>
                              <w:tc>
                                <w:tcPr>
                                  <w:tcW w:w="1440" w:type="dxa"/>
                                  <w:tcBorders>
                                    <w:top w:val="nil"/>
                                    <w:left w:val="nil"/>
                                    <w:bottom w:val="single" w:sz="4" w:space="0" w:color="auto"/>
                                    <w:right w:val="nil"/>
                                  </w:tcBorders>
                                  <w:shd w:val="clear" w:color="auto" w:fill="auto"/>
                                </w:tcPr>
                                <w:p w14:paraId="30BC8A45" w14:textId="77777777" w:rsidR="001C2D10" w:rsidRDefault="001C2D10">
                                  <w:pPr>
                                    <w:jc w:val="center"/>
                                    <w:rPr>
                                      <w:rFonts w:ascii="Futura PT Book" w:eastAsia="Times New Roman" w:hAnsi="Futura PT Book"/>
                                      <w:b/>
                                      <w:color w:val="000000"/>
                                      <w:sz w:val="20"/>
                                      <w:szCs w:val="20"/>
                                    </w:rPr>
                                  </w:pPr>
                                </w:p>
                                <w:p w14:paraId="4C114977" w14:textId="77777777" w:rsid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 xml:space="preserve">Account Owners: </w:t>
                                  </w:r>
                                  <w:r>
                                    <w:rPr>
                                      <w:rFonts w:ascii="Futura PT Book" w:eastAsia="Times New Roman" w:hAnsi="Futura PT Book"/>
                                      <w:color w:val="000000"/>
                                      <w:sz w:val="20"/>
                                      <w:szCs w:val="20"/>
                                    </w:rPr>
                                    <w:t>Year Over Year Growth</w:t>
                                  </w:r>
                                </w:p>
                              </w:tc>
                              <w:tc>
                                <w:tcPr>
                                  <w:tcW w:w="1440" w:type="dxa"/>
                                  <w:tcBorders>
                                    <w:top w:val="nil"/>
                                    <w:left w:val="nil"/>
                                    <w:bottom w:val="single" w:sz="4" w:space="0" w:color="auto"/>
                                    <w:right w:val="nil"/>
                                  </w:tcBorders>
                                  <w:shd w:val="clear" w:color="auto" w:fill="auto"/>
                                </w:tcPr>
                                <w:p w14:paraId="4E3C303F" w14:textId="77777777" w:rsidR="001C2D10" w:rsidRPr="007273FE" w:rsidRDefault="001C2D10">
                                  <w:pPr>
                                    <w:jc w:val="center"/>
                                    <w:rPr>
                                      <w:rFonts w:ascii="Futura PT Book" w:eastAsia="Times New Roman" w:hAnsi="Futura PT Book"/>
                                      <w:b/>
                                      <w:color w:val="000000"/>
                                      <w:sz w:val="20"/>
                                      <w:szCs w:val="20"/>
                                      <w:highlight w:val="yellow"/>
                                    </w:rPr>
                                  </w:pPr>
                                </w:p>
                                <w:p w14:paraId="7613CECE" w14:textId="65891911" w:rsidR="001C2D10" w:rsidRPr="007273FE" w:rsidRDefault="001C2D10">
                                  <w:pPr>
                                    <w:jc w:val="center"/>
                                    <w:rPr>
                                      <w:rFonts w:ascii="Futura PT Book" w:eastAsia="Times New Roman" w:hAnsi="Futura PT Book"/>
                                      <w:b/>
                                      <w:color w:val="000000"/>
                                      <w:sz w:val="20"/>
                                      <w:szCs w:val="20"/>
                                      <w:highlight w:val="yellow"/>
                                    </w:rPr>
                                  </w:pPr>
                                  <w:r w:rsidRPr="00593817">
                                    <w:rPr>
                                      <w:rFonts w:ascii="Futura PT Book" w:eastAsia="Times New Roman" w:hAnsi="Futura PT Book"/>
                                      <w:b/>
                                      <w:color w:val="000000"/>
                                      <w:sz w:val="20"/>
                                      <w:szCs w:val="20"/>
                                    </w:rPr>
                                    <w:t>Account withdrawals to pay for higher education</w:t>
                                  </w:r>
                                </w:p>
                              </w:tc>
                            </w:tr>
                            <w:tr w:rsidR="001C2D10" w:rsidRPr="001C2D10" w14:paraId="77DFC480" w14:textId="77777777" w:rsidTr="003D5380">
                              <w:trPr>
                                <w:trHeight w:val="420"/>
                              </w:trPr>
                              <w:tc>
                                <w:tcPr>
                                  <w:tcW w:w="1179" w:type="dxa"/>
                                  <w:tcBorders>
                                    <w:top w:val="single" w:sz="4" w:space="0" w:color="auto"/>
                                    <w:left w:val="nil"/>
                                    <w:bottom w:val="single" w:sz="4" w:space="0" w:color="auto"/>
                                    <w:right w:val="nil"/>
                                  </w:tcBorders>
                                  <w:shd w:val="clear" w:color="auto" w:fill="auto"/>
                                  <w:noWrap/>
                                  <w:vAlign w:val="center"/>
                                  <w:hideMark/>
                                </w:tcPr>
                                <w:p w14:paraId="00AA55C4" w14:textId="77777777"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North</w:t>
                                  </w:r>
                                </w:p>
                              </w:tc>
                              <w:tc>
                                <w:tcPr>
                                  <w:tcW w:w="1440" w:type="dxa"/>
                                  <w:tcBorders>
                                    <w:top w:val="single" w:sz="4" w:space="0" w:color="auto"/>
                                    <w:left w:val="nil"/>
                                    <w:bottom w:val="single" w:sz="4" w:space="0" w:color="auto"/>
                                    <w:right w:val="nil"/>
                                  </w:tcBorders>
                                  <w:shd w:val="clear" w:color="auto" w:fill="auto"/>
                                  <w:vAlign w:val="center"/>
                                  <w:hideMark/>
                                </w:tcPr>
                                <w:p w14:paraId="21A8E765" w14:textId="09C24F5C" w:rsidR="001C2D10" w:rsidRPr="001C2D10" w:rsidRDefault="001C2D10" w:rsidP="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1.</w:t>
                                  </w:r>
                                  <w:r>
                                    <w:rPr>
                                      <w:rFonts w:ascii="Futura PT Book" w:eastAsia="Times New Roman" w:hAnsi="Futura PT Book"/>
                                      <w:b/>
                                      <w:color w:val="000000"/>
                                      <w:sz w:val="20"/>
                                      <w:szCs w:val="20"/>
                                    </w:rPr>
                                    <w:t>3</w:t>
                                  </w:r>
                                  <w:r w:rsidRPr="001C2D10">
                                    <w:rPr>
                                      <w:rFonts w:ascii="Futura PT Book" w:eastAsia="Times New Roman" w:hAnsi="Futura PT Book"/>
                                      <w:b/>
                                      <w:color w:val="000000"/>
                                      <w:sz w:val="20"/>
                                      <w:szCs w:val="20"/>
                                    </w:rPr>
                                    <w:t>%</w:t>
                                  </w:r>
                                </w:p>
                              </w:tc>
                              <w:tc>
                                <w:tcPr>
                                  <w:tcW w:w="1440" w:type="dxa"/>
                                  <w:tcBorders>
                                    <w:top w:val="single" w:sz="4" w:space="0" w:color="auto"/>
                                    <w:left w:val="nil"/>
                                    <w:bottom w:val="single" w:sz="4" w:space="0" w:color="auto"/>
                                    <w:right w:val="nil"/>
                                  </w:tcBorders>
                                  <w:shd w:val="clear" w:color="auto" w:fill="auto"/>
                                  <w:vAlign w:val="center"/>
                                  <w:hideMark/>
                                </w:tcPr>
                                <w:p w14:paraId="67C1C117" w14:textId="088A56B0" w:rsidR="001C2D10" w:rsidRP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w:t>
                                  </w:r>
                                  <w:r>
                                    <w:rPr>
                                      <w:rFonts w:ascii="Futura PT Book" w:eastAsia="Times New Roman" w:hAnsi="Futura PT Book"/>
                                      <w:b/>
                                      <w:color w:val="000000"/>
                                      <w:sz w:val="20"/>
                                      <w:szCs w:val="20"/>
                                    </w:rPr>
                                    <w:t>2.4</w:t>
                                  </w:r>
                                  <w:r w:rsidRPr="001C2D10">
                                    <w:rPr>
                                      <w:rFonts w:ascii="Futura PT Book" w:eastAsia="Times New Roman" w:hAnsi="Futura PT Book"/>
                                      <w:b/>
                                      <w:color w:val="000000"/>
                                      <w:sz w:val="20"/>
                                      <w:szCs w:val="20"/>
                                    </w:rPr>
                                    <w:t>%</w:t>
                                  </w:r>
                                </w:p>
                                <w:p w14:paraId="0F198BED" w14:textId="6DE9F9A6" w:rsidR="001C2D10" w:rsidRPr="001C2D10" w:rsidRDefault="001C2D10" w:rsidP="003D538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(+91)</w:t>
                                  </w:r>
                                </w:p>
                              </w:tc>
                              <w:tc>
                                <w:tcPr>
                                  <w:tcW w:w="1440" w:type="dxa"/>
                                  <w:tcBorders>
                                    <w:top w:val="single" w:sz="4" w:space="0" w:color="auto"/>
                                    <w:left w:val="nil"/>
                                    <w:bottom w:val="single" w:sz="4" w:space="0" w:color="auto"/>
                                    <w:right w:val="nil"/>
                                  </w:tcBorders>
                                  <w:shd w:val="clear" w:color="auto" w:fill="70AD47" w:themeFill="accent6"/>
                                  <w:hideMark/>
                                </w:tcPr>
                                <w:p w14:paraId="790B3A1F" w14:textId="4AF67606" w:rsid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+1.</w:t>
                                  </w:r>
                                  <w:r>
                                    <w:rPr>
                                      <w:rFonts w:ascii="Futura PT Book" w:eastAsia="Times New Roman" w:hAnsi="Futura PT Book"/>
                                      <w:b/>
                                      <w:color w:val="000000"/>
                                      <w:sz w:val="20"/>
                                      <w:szCs w:val="20"/>
                                    </w:rPr>
                                    <w:t>8</w:t>
                                  </w:r>
                                  <w:r w:rsidRPr="001C2D10">
                                    <w:rPr>
                                      <w:rFonts w:ascii="Futura PT Book" w:eastAsia="Times New Roman" w:hAnsi="Futura PT Book"/>
                                      <w:b/>
                                      <w:color w:val="000000"/>
                                      <w:sz w:val="20"/>
                                      <w:szCs w:val="20"/>
                                    </w:rPr>
                                    <w:t>%</w:t>
                                  </w:r>
                                </w:p>
                                <w:p w14:paraId="6219C8EE" w14:textId="2812A8B4" w:rsidR="001C2D10" w:rsidRP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(+36)</w:t>
                                  </w:r>
                                </w:p>
                              </w:tc>
                              <w:tc>
                                <w:tcPr>
                                  <w:tcW w:w="1440" w:type="dxa"/>
                                  <w:tcBorders>
                                    <w:top w:val="single" w:sz="4" w:space="0" w:color="auto"/>
                                    <w:left w:val="nil"/>
                                    <w:bottom w:val="single" w:sz="4" w:space="0" w:color="auto"/>
                                    <w:right w:val="nil"/>
                                  </w:tcBorders>
                                  <w:shd w:val="clear" w:color="auto" w:fill="auto"/>
                                </w:tcPr>
                                <w:p w14:paraId="123E3764" w14:textId="57938368" w:rsidR="001C2D10" w:rsidRPr="001C2D10" w:rsidRDefault="001C2D10" w:rsidP="00BA4757">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$3.6 million</w:t>
                                  </w:r>
                                </w:p>
                              </w:tc>
                            </w:tr>
                            <w:tr w:rsidR="001C2D10" w:rsidRPr="001C2D10" w14:paraId="7465B5D6" w14:textId="77777777" w:rsidTr="00593817">
                              <w:trPr>
                                <w:trHeight w:val="420"/>
                              </w:trPr>
                              <w:tc>
                                <w:tcPr>
                                  <w:tcW w:w="1179" w:type="dxa"/>
                                  <w:tcBorders>
                                    <w:top w:val="single" w:sz="4" w:space="0" w:color="auto"/>
                                    <w:left w:val="nil"/>
                                    <w:bottom w:val="single" w:sz="4" w:space="0" w:color="auto"/>
                                    <w:right w:val="nil"/>
                                  </w:tcBorders>
                                  <w:shd w:val="clear" w:color="auto" w:fill="auto"/>
                                  <w:noWrap/>
                                  <w:vAlign w:val="center"/>
                                  <w:hideMark/>
                                </w:tcPr>
                                <w:p w14:paraId="5E826626" w14:textId="77777777"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East</w:t>
                                  </w:r>
                                </w:p>
                              </w:tc>
                              <w:tc>
                                <w:tcPr>
                                  <w:tcW w:w="1440" w:type="dxa"/>
                                  <w:tcBorders>
                                    <w:top w:val="single" w:sz="4" w:space="0" w:color="auto"/>
                                    <w:left w:val="nil"/>
                                    <w:bottom w:val="single" w:sz="4" w:space="0" w:color="auto"/>
                                    <w:right w:val="nil"/>
                                  </w:tcBorders>
                                  <w:shd w:val="clear" w:color="auto" w:fill="auto"/>
                                  <w:vAlign w:val="center"/>
                                  <w:hideMark/>
                                </w:tcPr>
                                <w:p w14:paraId="4B959F30" w14:textId="6EE315B4" w:rsidR="001C2D10" w:rsidRPr="001C2D10" w:rsidRDefault="001C2D10" w:rsidP="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0.</w:t>
                                  </w:r>
                                  <w:r>
                                    <w:rPr>
                                      <w:rFonts w:ascii="Futura PT Book" w:eastAsia="Times New Roman" w:hAnsi="Futura PT Book"/>
                                      <w:b/>
                                      <w:color w:val="000000"/>
                                      <w:sz w:val="20"/>
                                      <w:szCs w:val="20"/>
                                    </w:rPr>
                                    <w:t>9</w:t>
                                  </w:r>
                                  <w:r w:rsidRPr="001C2D10">
                                    <w:rPr>
                                      <w:rFonts w:ascii="Futura PT Book" w:eastAsia="Times New Roman" w:hAnsi="Futura PT Book"/>
                                      <w:b/>
                                      <w:color w:val="000000"/>
                                      <w:sz w:val="20"/>
                                      <w:szCs w:val="20"/>
                                    </w:rPr>
                                    <w:t>%</w:t>
                                  </w:r>
                                </w:p>
                              </w:tc>
                              <w:tc>
                                <w:tcPr>
                                  <w:tcW w:w="1440" w:type="dxa"/>
                                  <w:tcBorders>
                                    <w:top w:val="single" w:sz="4" w:space="0" w:color="auto"/>
                                    <w:left w:val="nil"/>
                                    <w:bottom w:val="single" w:sz="4" w:space="0" w:color="auto"/>
                                    <w:right w:val="nil"/>
                                  </w:tcBorders>
                                  <w:shd w:val="clear" w:color="auto" w:fill="70AD47" w:themeFill="accent6"/>
                                  <w:vAlign w:val="center"/>
                                  <w:hideMark/>
                                </w:tcPr>
                                <w:p w14:paraId="4608D70B" w14:textId="4519A2BB" w:rsidR="001C2D10" w:rsidRP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+4.</w:t>
                                  </w:r>
                                  <w:r>
                                    <w:rPr>
                                      <w:rFonts w:ascii="Futura PT Book" w:eastAsia="Times New Roman" w:hAnsi="Futura PT Book"/>
                                      <w:b/>
                                      <w:color w:val="000000"/>
                                      <w:sz w:val="20"/>
                                      <w:szCs w:val="20"/>
                                    </w:rPr>
                                    <w:t>5</w:t>
                                  </w:r>
                                  <w:r w:rsidRPr="001C2D10">
                                    <w:rPr>
                                      <w:rFonts w:ascii="Futura PT Book" w:eastAsia="Times New Roman" w:hAnsi="Futura PT Book"/>
                                      <w:b/>
                                      <w:color w:val="000000"/>
                                      <w:sz w:val="20"/>
                                      <w:szCs w:val="20"/>
                                    </w:rPr>
                                    <w:t>%</w:t>
                                  </w:r>
                                </w:p>
                                <w:p w14:paraId="5C2E9C55" w14:textId="5C804B14"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(+141)</w:t>
                                  </w:r>
                                </w:p>
                              </w:tc>
                              <w:tc>
                                <w:tcPr>
                                  <w:tcW w:w="1440" w:type="dxa"/>
                                  <w:tcBorders>
                                    <w:top w:val="single" w:sz="4" w:space="0" w:color="auto"/>
                                    <w:left w:val="nil"/>
                                    <w:bottom w:val="single" w:sz="4" w:space="0" w:color="auto"/>
                                    <w:right w:val="nil"/>
                                  </w:tcBorders>
                                  <w:shd w:val="clear" w:color="auto" w:fill="auto"/>
                                  <w:hideMark/>
                                </w:tcPr>
                                <w:p w14:paraId="6EDED1DC" w14:textId="54D96FBA" w:rsid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w:t>
                                  </w:r>
                                  <w:r>
                                    <w:rPr>
                                      <w:rFonts w:ascii="Futura PT Book" w:eastAsia="Times New Roman" w:hAnsi="Futura PT Book"/>
                                      <w:b/>
                                      <w:color w:val="000000"/>
                                      <w:sz w:val="20"/>
                                      <w:szCs w:val="20"/>
                                    </w:rPr>
                                    <w:t>1</w:t>
                                  </w:r>
                                  <w:r w:rsidRPr="001C2D10">
                                    <w:rPr>
                                      <w:rFonts w:ascii="Futura PT Book" w:eastAsia="Times New Roman" w:hAnsi="Futura PT Book"/>
                                      <w:b/>
                                      <w:color w:val="000000"/>
                                      <w:sz w:val="20"/>
                                      <w:szCs w:val="20"/>
                                    </w:rPr>
                                    <w:t>%</w:t>
                                  </w:r>
                                </w:p>
                                <w:p w14:paraId="033052D5" w14:textId="7525E845" w:rsidR="001C2D10" w:rsidRP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(+141)</w:t>
                                  </w:r>
                                </w:p>
                              </w:tc>
                              <w:tc>
                                <w:tcPr>
                                  <w:tcW w:w="1440" w:type="dxa"/>
                                  <w:tcBorders>
                                    <w:top w:val="single" w:sz="4" w:space="0" w:color="auto"/>
                                    <w:left w:val="nil"/>
                                    <w:bottom w:val="single" w:sz="4" w:space="0" w:color="auto"/>
                                    <w:right w:val="nil"/>
                                  </w:tcBorders>
                                  <w:shd w:val="clear" w:color="auto" w:fill="auto"/>
                                </w:tcPr>
                                <w:p w14:paraId="6FE662B5" w14:textId="51250BA4" w:rsidR="001C2D10" w:rsidRPr="001C2D10" w:rsidRDefault="001C2D10" w:rsidP="00593817">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$2.8 million</w:t>
                                  </w:r>
                                </w:p>
                              </w:tc>
                            </w:tr>
                            <w:tr w:rsidR="001C2D10" w:rsidRPr="001C2D10" w14:paraId="45CB2C95" w14:textId="77777777" w:rsidTr="003D5380">
                              <w:trPr>
                                <w:trHeight w:val="420"/>
                              </w:trPr>
                              <w:tc>
                                <w:tcPr>
                                  <w:tcW w:w="1179" w:type="dxa"/>
                                  <w:tcBorders>
                                    <w:top w:val="single" w:sz="4" w:space="0" w:color="auto"/>
                                    <w:left w:val="nil"/>
                                    <w:bottom w:val="single" w:sz="4" w:space="0" w:color="auto"/>
                                    <w:right w:val="nil"/>
                                  </w:tcBorders>
                                  <w:shd w:val="clear" w:color="auto" w:fill="auto"/>
                                  <w:noWrap/>
                                  <w:vAlign w:val="center"/>
                                  <w:hideMark/>
                                </w:tcPr>
                                <w:p w14:paraId="7CFDBBDD" w14:textId="77777777"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Southwest</w:t>
                                  </w:r>
                                </w:p>
                              </w:tc>
                              <w:tc>
                                <w:tcPr>
                                  <w:tcW w:w="1440" w:type="dxa"/>
                                  <w:tcBorders>
                                    <w:top w:val="single" w:sz="4" w:space="0" w:color="auto"/>
                                    <w:left w:val="nil"/>
                                    <w:bottom w:val="single" w:sz="4" w:space="0" w:color="auto"/>
                                    <w:right w:val="nil"/>
                                  </w:tcBorders>
                                  <w:shd w:val="clear" w:color="auto" w:fill="70AD47" w:themeFill="accent6"/>
                                  <w:vAlign w:val="center"/>
                                  <w:hideMark/>
                                </w:tcPr>
                                <w:p w14:paraId="2D1D077F" w14:textId="448C0318" w:rsidR="001C2D10" w:rsidRPr="001C2D10" w:rsidRDefault="001C2D10" w:rsidP="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2.</w:t>
                                  </w:r>
                                  <w:r>
                                    <w:rPr>
                                      <w:rFonts w:ascii="Futura PT Book" w:eastAsia="Times New Roman" w:hAnsi="Futura PT Book"/>
                                      <w:b/>
                                      <w:color w:val="000000"/>
                                      <w:sz w:val="20"/>
                                      <w:szCs w:val="20"/>
                                    </w:rPr>
                                    <w:t>8</w:t>
                                  </w:r>
                                  <w:r w:rsidRPr="001C2D10">
                                    <w:rPr>
                                      <w:rFonts w:ascii="Futura PT Book" w:eastAsia="Times New Roman" w:hAnsi="Futura PT Book"/>
                                      <w:b/>
                                      <w:color w:val="000000"/>
                                      <w:sz w:val="20"/>
                                      <w:szCs w:val="20"/>
                                    </w:rPr>
                                    <w:t>%</w:t>
                                  </w:r>
                                </w:p>
                              </w:tc>
                              <w:tc>
                                <w:tcPr>
                                  <w:tcW w:w="1440" w:type="dxa"/>
                                  <w:tcBorders>
                                    <w:top w:val="single" w:sz="4" w:space="0" w:color="auto"/>
                                    <w:left w:val="nil"/>
                                    <w:bottom w:val="single" w:sz="4" w:space="0" w:color="auto"/>
                                    <w:right w:val="nil"/>
                                  </w:tcBorders>
                                  <w:shd w:val="clear" w:color="auto" w:fill="auto"/>
                                  <w:vAlign w:val="center"/>
                                  <w:hideMark/>
                                </w:tcPr>
                                <w:p w14:paraId="4DB55081" w14:textId="176FE03D" w:rsidR="001C2D10" w:rsidRP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+2.</w:t>
                                  </w:r>
                                  <w:r>
                                    <w:rPr>
                                      <w:rFonts w:ascii="Futura PT Book" w:eastAsia="Times New Roman" w:hAnsi="Futura PT Book"/>
                                      <w:b/>
                                      <w:color w:val="000000"/>
                                      <w:sz w:val="20"/>
                                      <w:szCs w:val="20"/>
                                    </w:rPr>
                                    <w:t>8</w:t>
                                  </w:r>
                                  <w:r w:rsidRPr="001C2D10">
                                    <w:rPr>
                                      <w:rFonts w:ascii="Futura PT Book" w:eastAsia="Times New Roman" w:hAnsi="Futura PT Book"/>
                                      <w:b/>
                                      <w:color w:val="000000"/>
                                      <w:sz w:val="20"/>
                                      <w:szCs w:val="20"/>
                                    </w:rPr>
                                    <w:t>%</w:t>
                                  </w:r>
                                </w:p>
                                <w:p w14:paraId="3FDE35A3" w14:textId="7FB8F9A0"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(+512)</w:t>
                                  </w:r>
                                </w:p>
                              </w:tc>
                              <w:tc>
                                <w:tcPr>
                                  <w:tcW w:w="1440" w:type="dxa"/>
                                  <w:tcBorders>
                                    <w:top w:val="single" w:sz="4" w:space="0" w:color="auto"/>
                                    <w:left w:val="nil"/>
                                    <w:bottom w:val="single" w:sz="4" w:space="0" w:color="auto"/>
                                    <w:right w:val="nil"/>
                                  </w:tcBorders>
                                  <w:shd w:val="clear" w:color="auto" w:fill="auto"/>
                                  <w:hideMark/>
                                </w:tcPr>
                                <w:p w14:paraId="4A4C88F1" w14:textId="7E2DC59A" w:rsid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+1.6</w:t>
                                  </w:r>
                                  <w:r w:rsidRPr="001C2D10">
                                    <w:rPr>
                                      <w:rFonts w:ascii="Futura PT Book" w:eastAsia="Times New Roman" w:hAnsi="Futura PT Book"/>
                                      <w:b/>
                                      <w:color w:val="000000"/>
                                      <w:sz w:val="20"/>
                                      <w:szCs w:val="20"/>
                                    </w:rPr>
                                    <w:t>%</w:t>
                                  </w:r>
                                </w:p>
                                <w:p w14:paraId="4ABC80B6" w14:textId="752E5259" w:rsidR="001C2D10" w:rsidRP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(+512)</w:t>
                                  </w:r>
                                </w:p>
                              </w:tc>
                              <w:tc>
                                <w:tcPr>
                                  <w:tcW w:w="1440" w:type="dxa"/>
                                  <w:tcBorders>
                                    <w:top w:val="single" w:sz="4" w:space="0" w:color="auto"/>
                                    <w:left w:val="nil"/>
                                    <w:bottom w:val="single" w:sz="4" w:space="0" w:color="auto"/>
                                    <w:right w:val="nil"/>
                                  </w:tcBorders>
                                  <w:shd w:val="clear" w:color="auto" w:fill="auto"/>
                                </w:tcPr>
                                <w:p w14:paraId="3CA29F6F" w14:textId="153C6AC6" w:rsidR="001C2D10" w:rsidRPr="001C2D10" w:rsidRDefault="001C2D10" w:rsidP="0067748B">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$19.7 million</w:t>
                                  </w:r>
                                </w:p>
                              </w:tc>
                            </w:tr>
                            <w:tr w:rsidR="001C2D10" w:rsidRPr="007273FE" w14:paraId="63EACCEB" w14:textId="77777777" w:rsidTr="003D5380">
                              <w:trPr>
                                <w:trHeight w:val="420"/>
                              </w:trPr>
                              <w:tc>
                                <w:tcPr>
                                  <w:tcW w:w="1179" w:type="dxa"/>
                                  <w:tcBorders>
                                    <w:top w:val="single" w:sz="4" w:space="0" w:color="auto"/>
                                    <w:left w:val="nil"/>
                                    <w:bottom w:val="nil"/>
                                    <w:right w:val="nil"/>
                                  </w:tcBorders>
                                  <w:shd w:val="clear" w:color="auto" w:fill="auto"/>
                                  <w:noWrap/>
                                  <w:vAlign w:val="center"/>
                                  <w:hideMark/>
                                </w:tcPr>
                                <w:p w14:paraId="1E7A2001" w14:textId="77777777"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Central</w:t>
                                  </w:r>
                                </w:p>
                              </w:tc>
                              <w:tc>
                                <w:tcPr>
                                  <w:tcW w:w="1440" w:type="dxa"/>
                                  <w:tcBorders>
                                    <w:top w:val="single" w:sz="4" w:space="0" w:color="auto"/>
                                    <w:left w:val="nil"/>
                                    <w:bottom w:val="nil"/>
                                    <w:right w:val="nil"/>
                                  </w:tcBorders>
                                  <w:shd w:val="clear" w:color="auto" w:fill="auto"/>
                                  <w:vAlign w:val="center"/>
                                  <w:hideMark/>
                                </w:tcPr>
                                <w:p w14:paraId="4E2A91F7" w14:textId="217A1DB3" w:rsidR="001C2D10" w:rsidRPr="001C2D10" w:rsidRDefault="001C2D10" w:rsidP="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1</w:t>
                                  </w:r>
                                  <w:r w:rsidRPr="001C2D10">
                                    <w:rPr>
                                      <w:rFonts w:ascii="Futura PT Book" w:eastAsia="Times New Roman" w:hAnsi="Futura PT Book"/>
                                      <w:b/>
                                      <w:color w:val="000000"/>
                                      <w:sz w:val="20"/>
                                      <w:szCs w:val="20"/>
                                    </w:rPr>
                                    <w:t xml:space="preserve"> %</w:t>
                                  </w:r>
                                </w:p>
                              </w:tc>
                              <w:tc>
                                <w:tcPr>
                                  <w:tcW w:w="1440" w:type="dxa"/>
                                  <w:tcBorders>
                                    <w:top w:val="single" w:sz="4" w:space="0" w:color="auto"/>
                                    <w:left w:val="nil"/>
                                    <w:bottom w:val="nil"/>
                                    <w:right w:val="nil"/>
                                  </w:tcBorders>
                                  <w:shd w:val="clear" w:color="auto" w:fill="auto"/>
                                  <w:vAlign w:val="center"/>
                                  <w:hideMark/>
                                </w:tcPr>
                                <w:p w14:paraId="522E9522" w14:textId="536E0942" w:rsidR="001C2D10" w:rsidRP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+3.</w:t>
                                  </w:r>
                                  <w:r>
                                    <w:rPr>
                                      <w:rFonts w:ascii="Futura PT Book" w:eastAsia="Times New Roman" w:hAnsi="Futura PT Book"/>
                                      <w:b/>
                                      <w:color w:val="000000"/>
                                      <w:sz w:val="20"/>
                                      <w:szCs w:val="20"/>
                                    </w:rPr>
                                    <w:t>5</w:t>
                                  </w:r>
                                  <w:r w:rsidRPr="001C2D10">
                                    <w:rPr>
                                      <w:rFonts w:ascii="Futura PT Book" w:eastAsia="Times New Roman" w:hAnsi="Futura PT Book"/>
                                      <w:b/>
                                      <w:color w:val="000000"/>
                                      <w:sz w:val="20"/>
                                      <w:szCs w:val="20"/>
                                    </w:rPr>
                                    <w:t>%</w:t>
                                  </w:r>
                                </w:p>
                                <w:p w14:paraId="601C2279" w14:textId="11F15E01" w:rsidR="001C2D10" w:rsidRP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(+65)</w:t>
                                  </w:r>
                                </w:p>
                              </w:tc>
                              <w:tc>
                                <w:tcPr>
                                  <w:tcW w:w="1440" w:type="dxa"/>
                                  <w:tcBorders>
                                    <w:top w:val="single" w:sz="4" w:space="0" w:color="auto"/>
                                    <w:left w:val="nil"/>
                                    <w:bottom w:val="nil"/>
                                    <w:right w:val="nil"/>
                                  </w:tcBorders>
                                  <w:shd w:val="clear" w:color="auto" w:fill="auto"/>
                                  <w:hideMark/>
                                </w:tcPr>
                                <w:p w14:paraId="0D1A2782" w14:textId="29023A81" w:rsid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+1.</w:t>
                                  </w:r>
                                  <w:r>
                                    <w:rPr>
                                      <w:rFonts w:ascii="Futura PT Book" w:eastAsia="Times New Roman" w:hAnsi="Futura PT Book"/>
                                      <w:b/>
                                      <w:color w:val="000000"/>
                                      <w:sz w:val="20"/>
                                      <w:szCs w:val="20"/>
                                    </w:rPr>
                                    <w:t>4</w:t>
                                  </w:r>
                                  <w:r w:rsidRPr="001C2D10">
                                    <w:rPr>
                                      <w:rFonts w:ascii="Futura PT Book" w:eastAsia="Times New Roman" w:hAnsi="Futura PT Book"/>
                                      <w:b/>
                                      <w:color w:val="000000"/>
                                      <w:sz w:val="20"/>
                                      <w:szCs w:val="20"/>
                                    </w:rPr>
                                    <w:t>%</w:t>
                                  </w:r>
                                </w:p>
                                <w:p w14:paraId="32637617" w14:textId="3F6A4D6A" w:rsidR="001C2D10" w:rsidRP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(+65)</w:t>
                                  </w:r>
                                </w:p>
                              </w:tc>
                              <w:tc>
                                <w:tcPr>
                                  <w:tcW w:w="1440" w:type="dxa"/>
                                  <w:tcBorders>
                                    <w:top w:val="single" w:sz="4" w:space="0" w:color="auto"/>
                                    <w:left w:val="nil"/>
                                    <w:bottom w:val="nil"/>
                                    <w:right w:val="nil"/>
                                  </w:tcBorders>
                                  <w:shd w:val="clear" w:color="auto" w:fill="auto"/>
                                </w:tcPr>
                                <w:p w14:paraId="2CB62D0B" w14:textId="49D8D963" w:rsidR="001C2D10" w:rsidRPr="001C2D10" w:rsidRDefault="001C2D10" w:rsidP="00A96C7C">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$2.4 million</w:t>
                                  </w:r>
                                </w:p>
                              </w:tc>
                            </w:tr>
                          </w:tbl>
                          <w:p w14:paraId="41C44FFA" w14:textId="77777777" w:rsidR="001C2D10" w:rsidRDefault="001C2D10" w:rsidP="00031E4A">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09476" id="_x0000_t202" coordsize="21600,21600" o:spt="202" path="m0,0l0,21600,21600,21600,21600,0xe">
                <v:stroke joinstyle="miter"/>
                <v:path gradientshapeok="t" o:connecttype="rect"/>
              </v:shapetype>
              <v:shape id="Text_x0020_Box_x0020_5" o:spid="_x0000_s1026" type="#_x0000_t202" style="position:absolute;margin-left:150.6pt;margin-top:1.4pt;width:360.1pt;height:2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" filled="f" stroked="f">
                <v:textbox>
                  <w:txbxContent>
                    <w:tbl>
                      <w:tblPr>
                        <w:tblW w:w="6940" w:type="dxa"/>
                        <w:tblBorders>
                          <w:insideH w:val="single" w:sz="4" w:space="0" w:color="auto"/>
                        </w:tblBorders>
                        <w:tblLayout w:type="fixed"/>
                        <w:tblLook w:val="04A0" w:firstRow="1" w:lastRow="0" w:firstColumn="1" w:lastColumn="0" w:noHBand="0" w:noVBand="1"/>
                      </w:tblPr>
                      <w:tblGrid>
                        <w:gridCol w:w="1180"/>
                        <w:gridCol w:w="1440"/>
                        <w:gridCol w:w="1440"/>
                        <w:gridCol w:w="1440"/>
                        <w:gridCol w:w="1440"/>
                      </w:tblGrid>
                      <w:tr w:rsidR="001C2D10" w:rsidRPr="007273FE" w14:paraId="70F1A095" w14:textId="77777777" w:rsidTr="003D5380">
                        <w:trPr>
                          <w:trHeight w:val="1333"/>
                        </w:trPr>
                        <w:tc>
                          <w:tcPr>
                            <w:tcW w:w="1179" w:type="dxa"/>
                            <w:tcBorders>
                              <w:top w:val="nil"/>
                              <w:left w:val="nil"/>
                              <w:bottom w:val="single" w:sz="4" w:space="0" w:color="auto"/>
                              <w:right w:val="nil"/>
                            </w:tcBorders>
                            <w:shd w:val="clear" w:color="auto" w:fill="auto"/>
                            <w:noWrap/>
                            <w:vAlign w:val="center"/>
                            <w:hideMark/>
                          </w:tcPr>
                          <w:p w14:paraId="2A13E1C4" w14:textId="77777777" w:rsidR="001C2D10" w:rsidRDefault="001C2D10">
                            <w:pPr>
                              <w:jc w:val="center"/>
                              <w:rPr>
                                <w:rFonts w:ascii="Futura PT Book" w:hAnsi="Futura PT Book" w:cstheme="minorBidi"/>
                                <w:sz w:val="20"/>
                                <w:szCs w:val="20"/>
                              </w:rPr>
                            </w:pPr>
                            <w:r>
                              <w:rPr>
                                <w:rFonts w:ascii="Futura PT Book" w:hAnsi="Futura PT Book" w:cstheme="minorBidi"/>
                                <w:sz w:val="20"/>
                                <w:szCs w:val="20"/>
                              </w:rPr>
                              <w:t>Regions</w:t>
                            </w:r>
                          </w:p>
                        </w:tc>
                        <w:tc>
                          <w:tcPr>
                            <w:tcW w:w="1440" w:type="dxa"/>
                            <w:tcBorders>
                              <w:top w:val="nil"/>
                              <w:left w:val="nil"/>
                              <w:bottom w:val="single" w:sz="4" w:space="0" w:color="auto"/>
                              <w:right w:val="nil"/>
                            </w:tcBorders>
                            <w:shd w:val="clear" w:color="auto" w:fill="auto"/>
                            <w:vAlign w:val="center"/>
                            <w:hideMark/>
                          </w:tcPr>
                          <w:p w14:paraId="57C8E721" w14:textId="77777777" w:rsid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Total Accounts Per Capita</w:t>
                            </w:r>
                          </w:p>
                        </w:tc>
                        <w:tc>
                          <w:tcPr>
                            <w:tcW w:w="1440" w:type="dxa"/>
                            <w:tcBorders>
                              <w:top w:val="nil"/>
                              <w:left w:val="nil"/>
                              <w:bottom w:val="single" w:sz="4" w:space="0" w:color="auto"/>
                              <w:right w:val="nil"/>
                            </w:tcBorders>
                            <w:shd w:val="clear" w:color="auto" w:fill="auto"/>
                            <w:noWrap/>
                            <w:vAlign w:val="center"/>
                            <w:hideMark/>
                          </w:tcPr>
                          <w:p w14:paraId="5157CF67" w14:textId="00BE94C7" w:rsidR="001C2D10" w:rsidRDefault="0061445B" w:rsidP="0061445B">
                            <w:pPr>
                              <w:jc w:val="center"/>
                              <w:rPr>
                                <w:rFonts w:ascii="Futura PT Book" w:eastAsia="Times New Roman" w:hAnsi="Futura PT Book"/>
                                <w:color w:val="000000"/>
                                <w:sz w:val="20"/>
                                <w:szCs w:val="20"/>
                              </w:rPr>
                            </w:pPr>
                            <w:r>
                              <w:rPr>
                                <w:rFonts w:ascii="Futura PT Book" w:eastAsia="Times New Roman" w:hAnsi="Futura PT Book"/>
                                <w:b/>
                                <w:color w:val="000000"/>
                                <w:sz w:val="20"/>
                                <w:szCs w:val="20"/>
                              </w:rPr>
                              <w:t>Beneficiary Accoun</w:t>
                            </w:r>
                            <w:r w:rsidR="001C2D10">
                              <w:rPr>
                                <w:rFonts w:ascii="Futura PT Book" w:eastAsia="Times New Roman" w:hAnsi="Futura PT Book"/>
                                <w:b/>
                                <w:color w:val="000000"/>
                                <w:sz w:val="20"/>
                                <w:szCs w:val="20"/>
                              </w:rPr>
                              <w:t>ts</w:t>
                            </w:r>
                            <w:r w:rsidR="001C2D10">
                              <w:rPr>
                                <w:rFonts w:ascii="Futura PT Book" w:eastAsia="Times New Roman" w:hAnsi="Futura PT Book"/>
                                <w:color w:val="000000"/>
                                <w:sz w:val="20"/>
                                <w:szCs w:val="20"/>
                              </w:rPr>
                              <w:t>: Year Over Year Growth</w:t>
                            </w:r>
                          </w:p>
                        </w:tc>
                        <w:tc>
                          <w:tcPr>
                            <w:tcW w:w="1440" w:type="dxa"/>
                            <w:tcBorders>
                              <w:top w:val="nil"/>
                              <w:left w:val="nil"/>
                              <w:bottom w:val="single" w:sz="4" w:space="0" w:color="auto"/>
                              <w:right w:val="nil"/>
                            </w:tcBorders>
                            <w:shd w:val="clear" w:color="auto" w:fill="auto"/>
                          </w:tcPr>
                          <w:p w14:paraId="30BC8A45" w14:textId="77777777" w:rsidR="001C2D10" w:rsidRDefault="001C2D10">
                            <w:pPr>
                              <w:jc w:val="center"/>
                              <w:rPr>
                                <w:rFonts w:ascii="Futura PT Book" w:eastAsia="Times New Roman" w:hAnsi="Futura PT Book"/>
                                <w:b/>
                                <w:color w:val="000000"/>
                                <w:sz w:val="20"/>
                                <w:szCs w:val="20"/>
                              </w:rPr>
                            </w:pPr>
                          </w:p>
                          <w:p w14:paraId="4C114977" w14:textId="77777777" w:rsid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 xml:space="preserve">Account Owners: </w:t>
                            </w:r>
                            <w:r>
                              <w:rPr>
                                <w:rFonts w:ascii="Futura PT Book" w:eastAsia="Times New Roman" w:hAnsi="Futura PT Book"/>
                                <w:color w:val="000000"/>
                                <w:sz w:val="20"/>
                                <w:szCs w:val="20"/>
                              </w:rPr>
                              <w:t>Year Over Year Growth</w:t>
                            </w:r>
                          </w:p>
                        </w:tc>
                        <w:tc>
                          <w:tcPr>
                            <w:tcW w:w="1440" w:type="dxa"/>
                            <w:tcBorders>
                              <w:top w:val="nil"/>
                              <w:left w:val="nil"/>
                              <w:bottom w:val="single" w:sz="4" w:space="0" w:color="auto"/>
                              <w:right w:val="nil"/>
                            </w:tcBorders>
                            <w:shd w:val="clear" w:color="auto" w:fill="auto"/>
                          </w:tcPr>
                          <w:p w14:paraId="4E3C303F" w14:textId="77777777" w:rsidR="001C2D10" w:rsidRPr="007273FE" w:rsidRDefault="001C2D10">
                            <w:pPr>
                              <w:jc w:val="center"/>
                              <w:rPr>
                                <w:rFonts w:ascii="Futura PT Book" w:eastAsia="Times New Roman" w:hAnsi="Futura PT Book"/>
                                <w:b/>
                                <w:color w:val="000000"/>
                                <w:sz w:val="20"/>
                                <w:szCs w:val="20"/>
                                <w:highlight w:val="yellow"/>
                              </w:rPr>
                            </w:pPr>
                          </w:p>
                          <w:p w14:paraId="7613CECE" w14:textId="65891911" w:rsidR="001C2D10" w:rsidRPr="007273FE" w:rsidRDefault="001C2D10">
                            <w:pPr>
                              <w:jc w:val="center"/>
                              <w:rPr>
                                <w:rFonts w:ascii="Futura PT Book" w:eastAsia="Times New Roman" w:hAnsi="Futura PT Book"/>
                                <w:b/>
                                <w:color w:val="000000"/>
                                <w:sz w:val="20"/>
                                <w:szCs w:val="20"/>
                                <w:highlight w:val="yellow"/>
                              </w:rPr>
                            </w:pPr>
                            <w:r w:rsidRPr="00593817">
                              <w:rPr>
                                <w:rFonts w:ascii="Futura PT Book" w:eastAsia="Times New Roman" w:hAnsi="Futura PT Book"/>
                                <w:b/>
                                <w:color w:val="000000"/>
                                <w:sz w:val="20"/>
                                <w:szCs w:val="20"/>
                              </w:rPr>
                              <w:t>Account withdrawals to pay for higher education</w:t>
                            </w:r>
                          </w:p>
                        </w:tc>
                      </w:tr>
                      <w:tr w:rsidR="001C2D10" w:rsidRPr="001C2D10" w14:paraId="77DFC480" w14:textId="77777777" w:rsidTr="003D5380">
                        <w:trPr>
                          <w:trHeight w:val="420"/>
                        </w:trPr>
                        <w:tc>
                          <w:tcPr>
                            <w:tcW w:w="1179" w:type="dxa"/>
                            <w:tcBorders>
                              <w:top w:val="single" w:sz="4" w:space="0" w:color="auto"/>
                              <w:left w:val="nil"/>
                              <w:bottom w:val="single" w:sz="4" w:space="0" w:color="auto"/>
                              <w:right w:val="nil"/>
                            </w:tcBorders>
                            <w:shd w:val="clear" w:color="auto" w:fill="auto"/>
                            <w:noWrap/>
                            <w:vAlign w:val="center"/>
                            <w:hideMark/>
                          </w:tcPr>
                          <w:p w14:paraId="00AA55C4" w14:textId="77777777"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North</w:t>
                            </w:r>
                          </w:p>
                        </w:tc>
                        <w:tc>
                          <w:tcPr>
                            <w:tcW w:w="1440" w:type="dxa"/>
                            <w:tcBorders>
                              <w:top w:val="single" w:sz="4" w:space="0" w:color="auto"/>
                              <w:left w:val="nil"/>
                              <w:bottom w:val="single" w:sz="4" w:space="0" w:color="auto"/>
                              <w:right w:val="nil"/>
                            </w:tcBorders>
                            <w:shd w:val="clear" w:color="auto" w:fill="auto"/>
                            <w:vAlign w:val="center"/>
                            <w:hideMark/>
                          </w:tcPr>
                          <w:p w14:paraId="21A8E765" w14:textId="09C24F5C" w:rsidR="001C2D10" w:rsidRPr="001C2D10" w:rsidRDefault="001C2D10" w:rsidP="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1.</w:t>
                            </w:r>
                            <w:r>
                              <w:rPr>
                                <w:rFonts w:ascii="Futura PT Book" w:eastAsia="Times New Roman" w:hAnsi="Futura PT Book"/>
                                <w:b/>
                                <w:color w:val="000000"/>
                                <w:sz w:val="20"/>
                                <w:szCs w:val="20"/>
                              </w:rPr>
                              <w:t>3</w:t>
                            </w:r>
                            <w:r w:rsidRPr="001C2D10">
                              <w:rPr>
                                <w:rFonts w:ascii="Futura PT Book" w:eastAsia="Times New Roman" w:hAnsi="Futura PT Book"/>
                                <w:b/>
                                <w:color w:val="000000"/>
                                <w:sz w:val="20"/>
                                <w:szCs w:val="20"/>
                              </w:rPr>
                              <w:t>%</w:t>
                            </w:r>
                          </w:p>
                        </w:tc>
                        <w:tc>
                          <w:tcPr>
                            <w:tcW w:w="1440" w:type="dxa"/>
                            <w:tcBorders>
                              <w:top w:val="single" w:sz="4" w:space="0" w:color="auto"/>
                              <w:left w:val="nil"/>
                              <w:bottom w:val="single" w:sz="4" w:space="0" w:color="auto"/>
                              <w:right w:val="nil"/>
                            </w:tcBorders>
                            <w:shd w:val="clear" w:color="auto" w:fill="auto"/>
                            <w:vAlign w:val="center"/>
                            <w:hideMark/>
                          </w:tcPr>
                          <w:p w14:paraId="67C1C117" w14:textId="088A56B0" w:rsidR="001C2D10" w:rsidRP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w:t>
                            </w:r>
                            <w:r>
                              <w:rPr>
                                <w:rFonts w:ascii="Futura PT Book" w:eastAsia="Times New Roman" w:hAnsi="Futura PT Book"/>
                                <w:b/>
                                <w:color w:val="000000"/>
                                <w:sz w:val="20"/>
                                <w:szCs w:val="20"/>
                              </w:rPr>
                              <w:t>2.4</w:t>
                            </w:r>
                            <w:r w:rsidRPr="001C2D10">
                              <w:rPr>
                                <w:rFonts w:ascii="Futura PT Book" w:eastAsia="Times New Roman" w:hAnsi="Futura PT Book"/>
                                <w:b/>
                                <w:color w:val="000000"/>
                                <w:sz w:val="20"/>
                                <w:szCs w:val="20"/>
                              </w:rPr>
                              <w:t>%</w:t>
                            </w:r>
                          </w:p>
                          <w:p w14:paraId="0F198BED" w14:textId="6DE9F9A6" w:rsidR="001C2D10" w:rsidRPr="001C2D10" w:rsidRDefault="001C2D10" w:rsidP="003D538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(+91)</w:t>
                            </w:r>
                          </w:p>
                        </w:tc>
                        <w:tc>
                          <w:tcPr>
                            <w:tcW w:w="1440" w:type="dxa"/>
                            <w:tcBorders>
                              <w:top w:val="single" w:sz="4" w:space="0" w:color="auto"/>
                              <w:left w:val="nil"/>
                              <w:bottom w:val="single" w:sz="4" w:space="0" w:color="auto"/>
                              <w:right w:val="nil"/>
                            </w:tcBorders>
                            <w:shd w:val="clear" w:color="auto" w:fill="70AD47" w:themeFill="accent6"/>
                            <w:hideMark/>
                          </w:tcPr>
                          <w:p w14:paraId="790B3A1F" w14:textId="4AF67606" w:rsid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+1.</w:t>
                            </w:r>
                            <w:r>
                              <w:rPr>
                                <w:rFonts w:ascii="Futura PT Book" w:eastAsia="Times New Roman" w:hAnsi="Futura PT Book"/>
                                <w:b/>
                                <w:color w:val="000000"/>
                                <w:sz w:val="20"/>
                                <w:szCs w:val="20"/>
                              </w:rPr>
                              <w:t>8</w:t>
                            </w:r>
                            <w:r w:rsidRPr="001C2D10">
                              <w:rPr>
                                <w:rFonts w:ascii="Futura PT Book" w:eastAsia="Times New Roman" w:hAnsi="Futura PT Book"/>
                                <w:b/>
                                <w:color w:val="000000"/>
                                <w:sz w:val="20"/>
                                <w:szCs w:val="20"/>
                              </w:rPr>
                              <w:t>%</w:t>
                            </w:r>
                          </w:p>
                          <w:p w14:paraId="6219C8EE" w14:textId="2812A8B4" w:rsidR="001C2D10" w:rsidRP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(+36)</w:t>
                            </w:r>
                          </w:p>
                        </w:tc>
                        <w:tc>
                          <w:tcPr>
                            <w:tcW w:w="1440" w:type="dxa"/>
                            <w:tcBorders>
                              <w:top w:val="single" w:sz="4" w:space="0" w:color="auto"/>
                              <w:left w:val="nil"/>
                              <w:bottom w:val="single" w:sz="4" w:space="0" w:color="auto"/>
                              <w:right w:val="nil"/>
                            </w:tcBorders>
                            <w:shd w:val="clear" w:color="auto" w:fill="auto"/>
                          </w:tcPr>
                          <w:p w14:paraId="123E3764" w14:textId="57938368" w:rsidR="001C2D10" w:rsidRPr="001C2D10" w:rsidRDefault="001C2D10" w:rsidP="00BA4757">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$3.6 million</w:t>
                            </w:r>
                          </w:p>
                        </w:tc>
                      </w:tr>
                      <w:tr w:rsidR="001C2D10" w:rsidRPr="001C2D10" w14:paraId="7465B5D6" w14:textId="77777777" w:rsidTr="00593817">
                        <w:trPr>
                          <w:trHeight w:val="420"/>
                        </w:trPr>
                        <w:tc>
                          <w:tcPr>
                            <w:tcW w:w="1179" w:type="dxa"/>
                            <w:tcBorders>
                              <w:top w:val="single" w:sz="4" w:space="0" w:color="auto"/>
                              <w:left w:val="nil"/>
                              <w:bottom w:val="single" w:sz="4" w:space="0" w:color="auto"/>
                              <w:right w:val="nil"/>
                            </w:tcBorders>
                            <w:shd w:val="clear" w:color="auto" w:fill="auto"/>
                            <w:noWrap/>
                            <w:vAlign w:val="center"/>
                            <w:hideMark/>
                          </w:tcPr>
                          <w:p w14:paraId="5E826626" w14:textId="77777777"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East</w:t>
                            </w:r>
                          </w:p>
                        </w:tc>
                        <w:tc>
                          <w:tcPr>
                            <w:tcW w:w="1440" w:type="dxa"/>
                            <w:tcBorders>
                              <w:top w:val="single" w:sz="4" w:space="0" w:color="auto"/>
                              <w:left w:val="nil"/>
                              <w:bottom w:val="single" w:sz="4" w:space="0" w:color="auto"/>
                              <w:right w:val="nil"/>
                            </w:tcBorders>
                            <w:shd w:val="clear" w:color="auto" w:fill="auto"/>
                            <w:vAlign w:val="center"/>
                            <w:hideMark/>
                          </w:tcPr>
                          <w:p w14:paraId="4B959F30" w14:textId="6EE315B4" w:rsidR="001C2D10" w:rsidRPr="001C2D10" w:rsidRDefault="001C2D10" w:rsidP="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0.</w:t>
                            </w:r>
                            <w:r>
                              <w:rPr>
                                <w:rFonts w:ascii="Futura PT Book" w:eastAsia="Times New Roman" w:hAnsi="Futura PT Book"/>
                                <w:b/>
                                <w:color w:val="000000"/>
                                <w:sz w:val="20"/>
                                <w:szCs w:val="20"/>
                              </w:rPr>
                              <w:t>9</w:t>
                            </w:r>
                            <w:r w:rsidRPr="001C2D10">
                              <w:rPr>
                                <w:rFonts w:ascii="Futura PT Book" w:eastAsia="Times New Roman" w:hAnsi="Futura PT Book"/>
                                <w:b/>
                                <w:color w:val="000000"/>
                                <w:sz w:val="20"/>
                                <w:szCs w:val="20"/>
                              </w:rPr>
                              <w:t>%</w:t>
                            </w:r>
                          </w:p>
                        </w:tc>
                        <w:tc>
                          <w:tcPr>
                            <w:tcW w:w="1440" w:type="dxa"/>
                            <w:tcBorders>
                              <w:top w:val="single" w:sz="4" w:space="0" w:color="auto"/>
                              <w:left w:val="nil"/>
                              <w:bottom w:val="single" w:sz="4" w:space="0" w:color="auto"/>
                              <w:right w:val="nil"/>
                            </w:tcBorders>
                            <w:shd w:val="clear" w:color="auto" w:fill="70AD47" w:themeFill="accent6"/>
                            <w:vAlign w:val="center"/>
                            <w:hideMark/>
                          </w:tcPr>
                          <w:p w14:paraId="4608D70B" w14:textId="4519A2BB" w:rsidR="001C2D10" w:rsidRP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+4.</w:t>
                            </w:r>
                            <w:r>
                              <w:rPr>
                                <w:rFonts w:ascii="Futura PT Book" w:eastAsia="Times New Roman" w:hAnsi="Futura PT Book"/>
                                <w:b/>
                                <w:color w:val="000000"/>
                                <w:sz w:val="20"/>
                                <w:szCs w:val="20"/>
                              </w:rPr>
                              <w:t>5</w:t>
                            </w:r>
                            <w:r w:rsidRPr="001C2D10">
                              <w:rPr>
                                <w:rFonts w:ascii="Futura PT Book" w:eastAsia="Times New Roman" w:hAnsi="Futura PT Book"/>
                                <w:b/>
                                <w:color w:val="000000"/>
                                <w:sz w:val="20"/>
                                <w:szCs w:val="20"/>
                              </w:rPr>
                              <w:t>%</w:t>
                            </w:r>
                          </w:p>
                          <w:p w14:paraId="5C2E9C55" w14:textId="5C804B14"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(+141)</w:t>
                            </w:r>
                          </w:p>
                        </w:tc>
                        <w:tc>
                          <w:tcPr>
                            <w:tcW w:w="1440" w:type="dxa"/>
                            <w:tcBorders>
                              <w:top w:val="single" w:sz="4" w:space="0" w:color="auto"/>
                              <w:left w:val="nil"/>
                              <w:bottom w:val="single" w:sz="4" w:space="0" w:color="auto"/>
                              <w:right w:val="nil"/>
                            </w:tcBorders>
                            <w:shd w:val="clear" w:color="auto" w:fill="auto"/>
                            <w:hideMark/>
                          </w:tcPr>
                          <w:p w14:paraId="6EDED1DC" w14:textId="54D96FBA" w:rsid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w:t>
                            </w:r>
                            <w:r>
                              <w:rPr>
                                <w:rFonts w:ascii="Futura PT Book" w:eastAsia="Times New Roman" w:hAnsi="Futura PT Book"/>
                                <w:b/>
                                <w:color w:val="000000"/>
                                <w:sz w:val="20"/>
                                <w:szCs w:val="20"/>
                              </w:rPr>
                              <w:t>1</w:t>
                            </w:r>
                            <w:r w:rsidRPr="001C2D10">
                              <w:rPr>
                                <w:rFonts w:ascii="Futura PT Book" w:eastAsia="Times New Roman" w:hAnsi="Futura PT Book"/>
                                <w:b/>
                                <w:color w:val="000000"/>
                                <w:sz w:val="20"/>
                                <w:szCs w:val="20"/>
                              </w:rPr>
                              <w:t>%</w:t>
                            </w:r>
                          </w:p>
                          <w:p w14:paraId="033052D5" w14:textId="7525E845" w:rsidR="001C2D10" w:rsidRP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(+141)</w:t>
                            </w:r>
                          </w:p>
                        </w:tc>
                        <w:tc>
                          <w:tcPr>
                            <w:tcW w:w="1440" w:type="dxa"/>
                            <w:tcBorders>
                              <w:top w:val="single" w:sz="4" w:space="0" w:color="auto"/>
                              <w:left w:val="nil"/>
                              <w:bottom w:val="single" w:sz="4" w:space="0" w:color="auto"/>
                              <w:right w:val="nil"/>
                            </w:tcBorders>
                            <w:shd w:val="clear" w:color="auto" w:fill="auto"/>
                          </w:tcPr>
                          <w:p w14:paraId="6FE662B5" w14:textId="51250BA4" w:rsidR="001C2D10" w:rsidRPr="001C2D10" w:rsidRDefault="001C2D10" w:rsidP="00593817">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$2.8 million</w:t>
                            </w:r>
                          </w:p>
                        </w:tc>
                      </w:tr>
                      <w:tr w:rsidR="001C2D10" w:rsidRPr="001C2D10" w14:paraId="45CB2C95" w14:textId="77777777" w:rsidTr="003D5380">
                        <w:trPr>
                          <w:trHeight w:val="420"/>
                        </w:trPr>
                        <w:tc>
                          <w:tcPr>
                            <w:tcW w:w="1179" w:type="dxa"/>
                            <w:tcBorders>
                              <w:top w:val="single" w:sz="4" w:space="0" w:color="auto"/>
                              <w:left w:val="nil"/>
                              <w:bottom w:val="single" w:sz="4" w:space="0" w:color="auto"/>
                              <w:right w:val="nil"/>
                            </w:tcBorders>
                            <w:shd w:val="clear" w:color="auto" w:fill="auto"/>
                            <w:noWrap/>
                            <w:vAlign w:val="center"/>
                            <w:hideMark/>
                          </w:tcPr>
                          <w:p w14:paraId="7CFDBBDD" w14:textId="77777777"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Southwest</w:t>
                            </w:r>
                          </w:p>
                        </w:tc>
                        <w:tc>
                          <w:tcPr>
                            <w:tcW w:w="1440" w:type="dxa"/>
                            <w:tcBorders>
                              <w:top w:val="single" w:sz="4" w:space="0" w:color="auto"/>
                              <w:left w:val="nil"/>
                              <w:bottom w:val="single" w:sz="4" w:space="0" w:color="auto"/>
                              <w:right w:val="nil"/>
                            </w:tcBorders>
                            <w:shd w:val="clear" w:color="auto" w:fill="70AD47" w:themeFill="accent6"/>
                            <w:vAlign w:val="center"/>
                            <w:hideMark/>
                          </w:tcPr>
                          <w:p w14:paraId="2D1D077F" w14:textId="448C0318" w:rsidR="001C2D10" w:rsidRPr="001C2D10" w:rsidRDefault="001C2D10" w:rsidP="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2.</w:t>
                            </w:r>
                            <w:r>
                              <w:rPr>
                                <w:rFonts w:ascii="Futura PT Book" w:eastAsia="Times New Roman" w:hAnsi="Futura PT Book"/>
                                <w:b/>
                                <w:color w:val="000000"/>
                                <w:sz w:val="20"/>
                                <w:szCs w:val="20"/>
                              </w:rPr>
                              <w:t>8</w:t>
                            </w:r>
                            <w:r w:rsidRPr="001C2D10">
                              <w:rPr>
                                <w:rFonts w:ascii="Futura PT Book" w:eastAsia="Times New Roman" w:hAnsi="Futura PT Book"/>
                                <w:b/>
                                <w:color w:val="000000"/>
                                <w:sz w:val="20"/>
                                <w:szCs w:val="20"/>
                              </w:rPr>
                              <w:t>%</w:t>
                            </w:r>
                          </w:p>
                        </w:tc>
                        <w:tc>
                          <w:tcPr>
                            <w:tcW w:w="1440" w:type="dxa"/>
                            <w:tcBorders>
                              <w:top w:val="single" w:sz="4" w:space="0" w:color="auto"/>
                              <w:left w:val="nil"/>
                              <w:bottom w:val="single" w:sz="4" w:space="0" w:color="auto"/>
                              <w:right w:val="nil"/>
                            </w:tcBorders>
                            <w:shd w:val="clear" w:color="auto" w:fill="auto"/>
                            <w:vAlign w:val="center"/>
                            <w:hideMark/>
                          </w:tcPr>
                          <w:p w14:paraId="4DB55081" w14:textId="176FE03D" w:rsidR="001C2D10" w:rsidRP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+2.</w:t>
                            </w:r>
                            <w:r>
                              <w:rPr>
                                <w:rFonts w:ascii="Futura PT Book" w:eastAsia="Times New Roman" w:hAnsi="Futura PT Book"/>
                                <w:b/>
                                <w:color w:val="000000"/>
                                <w:sz w:val="20"/>
                                <w:szCs w:val="20"/>
                              </w:rPr>
                              <w:t>8</w:t>
                            </w:r>
                            <w:r w:rsidRPr="001C2D10">
                              <w:rPr>
                                <w:rFonts w:ascii="Futura PT Book" w:eastAsia="Times New Roman" w:hAnsi="Futura PT Book"/>
                                <w:b/>
                                <w:color w:val="000000"/>
                                <w:sz w:val="20"/>
                                <w:szCs w:val="20"/>
                              </w:rPr>
                              <w:t>%</w:t>
                            </w:r>
                          </w:p>
                          <w:p w14:paraId="3FDE35A3" w14:textId="7FB8F9A0"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(+512)</w:t>
                            </w:r>
                          </w:p>
                        </w:tc>
                        <w:tc>
                          <w:tcPr>
                            <w:tcW w:w="1440" w:type="dxa"/>
                            <w:tcBorders>
                              <w:top w:val="single" w:sz="4" w:space="0" w:color="auto"/>
                              <w:left w:val="nil"/>
                              <w:bottom w:val="single" w:sz="4" w:space="0" w:color="auto"/>
                              <w:right w:val="nil"/>
                            </w:tcBorders>
                            <w:shd w:val="clear" w:color="auto" w:fill="auto"/>
                            <w:hideMark/>
                          </w:tcPr>
                          <w:p w14:paraId="4A4C88F1" w14:textId="7E2DC59A" w:rsid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+1.6</w:t>
                            </w:r>
                            <w:r w:rsidRPr="001C2D10">
                              <w:rPr>
                                <w:rFonts w:ascii="Futura PT Book" w:eastAsia="Times New Roman" w:hAnsi="Futura PT Book"/>
                                <w:b/>
                                <w:color w:val="000000"/>
                                <w:sz w:val="20"/>
                                <w:szCs w:val="20"/>
                              </w:rPr>
                              <w:t>%</w:t>
                            </w:r>
                          </w:p>
                          <w:p w14:paraId="4ABC80B6" w14:textId="752E5259" w:rsidR="001C2D10" w:rsidRP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(+512)</w:t>
                            </w:r>
                          </w:p>
                        </w:tc>
                        <w:tc>
                          <w:tcPr>
                            <w:tcW w:w="1440" w:type="dxa"/>
                            <w:tcBorders>
                              <w:top w:val="single" w:sz="4" w:space="0" w:color="auto"/>
                              <w:left w:val="nil"/>
                              <w:bottom w:val="single" w:sz="4" w:space="0" w:color="auto"/>
                              <w:right w:val="nil"/>
                            </w:tcBorders>
                            <w:shd w:val="clear" w:color="auto" w:fill="auto"/>
                          </w:tcPr>
                          <w:p w14:paraId="3CA29F6F" w14:textId="153C6AC6" w:rsidR="001C2D10" w:rsidRPr="001C2D10" w:rsidRDefault="001C2D10" w:rsidP="0067748B">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$19.7 million</w:t>
                            </w:r>
                          </w:p>
                        </w:tc>
                      </w:tr>
                      <w:tr w:rsidR="001C2D10" w:rsidRPr="007273FE" w14:paraId="63EACCEB" w14:textId="77777777" w:rsidTr="003D5380">
                        <w:trPr>
                          <w:trHeight w:val="420"/>
                        </w:trPr>
                        <w:tc>
                          <w:tcPr>
                            <w:tcW w:w="1179" w:type="dxa"/>
                            <w:tcBorders>
                              <w:top w:val="single" w:sz="4" w:space="0" w:color="auto"/>
                              <w:left w:val="nil"/>
                              <w:bottom w:val="nil"/>
                              <w:right w:val="nil"/>
                            </w:tcBorders>
                            <w:shd w:val="clear" w:color="auto" w:fill="auto"/>
                            <w:noWrap/>
                            <w:vAlign w:val="center"/>
                            <w:hideMark/>
                          </w:tcPr>
                          <w:p w14:paraId="1E7A2001" w14:textId="77777777" w:rsidR="001C2D10" w:rsidRPr="001C2D10" w:rsidRDefault="001C2D10">
                            <w:pPr>
                              <w:jc w:val="center"/>
                              <w:rPr>
                                <w:rFonts w:ascii="Futura PT Book" w:eastAsia="Times New Roman" w:hAnsi="Futura PT Book"/>
                                <w:color w:val="000000"/>
                                <w:sz w:val="20"/>
                                <w:szCs w:val="20"/>
                              </w:rPr>
                            </w:pPr>
                            <w:r w:rsidRPr="001C2D10">
                              <w:rPr>
                                <w:rFonts w:ascii="Futura PT Book" w:eastAsia="Times New Roman" w:hAnsi="Futura PT Book"/>
                                <w:color w:val="000000"/>
                                <w:sz w:val="20"/>
                                <w:szCs w:val="20"/>
                              </w:rPr>
                              <w:t>Central</w:t>
                            </w:r>
                          </w:p>
                        </w:tc>
                        <w:tc>
                          <w:tcPr>
                            <w:tcW w:w="1440" w:type="dxa"/>
                            <w:tcBorders>
                              <w:top w:val="single" w:sz="4" w:space="0" w:color="auto"/>
                              <w:left w:val="nil"/>
                              <w:bottom w:val="nil"/>
                              <w:right w:val="nil"/>
                            </w:tcBorders>
                            <w:shd w:val="clear" w:color="auto" w:fill="auto"/>
                            <w:vAlign w:val="center"/>
                            <w:hideMark/>
                          </w:tcPr>
                          <w:p w14:paraId="4E2A91F7" w14:textId="217A1DB3" w:rsidR="001C2D10" w:rsidRPr="001C2D10" w:rsidRDefault="001C2D10" w:rsidP="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1</w:t>
                            </w:r>
                            <w:r w:rsidRPr="001C2D10">
                              <w:rPr>
                                <w:rFonts w:ascii="Futura PT Book" w:eastAsia="Times New Roman" w:hAnsi="Futura PT Book"/>
                                <w:b/>
                                <w:color w:val="000000"/>
                                <w:sz w:val="20"/>
                                <w:szCs w:val="20"/>
                              </w:rPr>
                              <w:t xml:space="preserve"> %</w:t>
                            </w:r>
                          </w:p>
                        </w:tc>
                        <w:tc>
                          <w:tcPr>
                            <w:tcW w:w="1440" w:type="dxa"/>
                            <w:tcBorders>
                              <w:top w:val="single" w:sz="4" w:space="0" w:color="auto"/>
                              <w:left w:val="nil"/>
                              <w:bottom w:val="nil"/>
                              <w:right w:val="nil"/>
                            </w:tcBorders>
                            <w:shd w:val="clear" w:color="auto" w:fill="auto"/>
                            <w:vAlign w:val="center"/>
                            <w:hideMark/>
                          </w:tcPr>
                          <w:p w14:paraId="522E9522" w14:textId="536E0942" w:rsidR="001C2D10" w:rsidRP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+3.</w:t>
                            </w:r>
                            <w:r>
                              <w:rPr>
                                <w:rFonts w:ascii="Futura PT Book" w:eastAsia="Times New Roman" w:hAnsi="Futura PT Book"/>
                                <w:b/>
                                <w:color w:val="000000"/>
                                <w:sz w:val="20"/>
                                <w:szCs w:val="20"/>
                              </w:rPr>
                              <w:t>5</w:t>
                            </w:r>
                            <w:r w:rsidRPr="001C2D10">
                              <w:rPr>
                                <w:rFonts w:ascii="Futura PT Book" w:eastAsia="Times New Roman" w:hAnsi="Futura PT Book"/>
                                <w:b/>
                                <w:color w:val="000000"/>
                                <w:sz w:val="20"/>
                                <w:szCs w:val="20"/>
                              </w:rPr>
                              <w:t>%</w:t>
                            </w:r>
                          </w:p>
                          <w:p w14:paraId="601C2279" w14:textId="11F15E01" w:rsidR="001C2D10" w:rsidRP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(+65)</w:t>
                            </w:r>
                          </w:p>
                        </w:tc>
                        <w:tc>
                          <w:tcPr>
                            <w:tcW w:w="1440" w:type="dxa"/>
                            <w:tcBorders>
                              <w:top w:val="single" w:sz="4" w:space="0" w:color="auto"/>
                              <w:left w:val="nil"/>
                              <w:bottom w:val="nil"/>
                              <w:right w:val="nil"/>
                            </w:tcBorders>
                            <w:shd w:val="clear" w:color="auto" w:fill="auto"/>
                            <w:hideMark/>
                          </w:tcPr>
                          <w:p w14:paraId="0D1A2782" w14:textId="29023A81" w:rsidR="001C2D10" w:rsidRDefault="001C2D10">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+1.</w:t>
                            </w:r>
                            <w:r>
                              <w:rPr>
                                <w:rFonts w:ascii="Futura PT Book" w:eastAsia="Times New Roman" w:hAnsi="Futura PT Book"/>
                                <w:b/>
                                <w:color w:val="000000"/>
                                <w:sz w:val="20"/>
                                <w:szCs w:val="20"/>
                              </w:rPr>
                              <w:t>4</w:t>
                            </w:r>
                            <w:r w:rsidRPr="001C2D10">
                              <w:rPr>
                                <w:rFonts w:ascii="Futura PT Book" w:eastAsia="Times New Roman" w:hAnsi="Futura PT Book"/>
                                <w:b/>
                                <w:color w:val="000000"/>
                                <w:sz w:val="20"/>
                                <w:szCs w:val="20"/>
                              </w:rPr>
                              <w:t>%</w:t>
                            </w:r>
                          </w:p>
                          <w:p w14:paraId="32637617" w14:textId="3F6A4D6A" w:rsidR="001C2D10" w:rsidRPr="001C2D10" w:rsidRDefault="001C2D10">
                            <w:pPr>
                              <w:jc w:val="center"/>
                              <w:rPr>
                                <w:rFonts w:ascii="Futura PT Book" w:eastAsia="Times New Roman" w:hAnsi="Futura PT Book"/>
                                <w:b/>
                                <w:color w:val="000000"/>
                                <w:sz w:val="20"/>
                                <w:szCs w:val="20"/>
                              </w:rPr>
                            </w:pPr>
                            <w:r>
                              <w:rPr>
                                <w:rFonts w:ascii="Futura PT Book" w:eastAsia="Times New Roman" w:hAnsi="Futura PT Book"/>
                                <w:b/>
                                <w:color w:val="000000"/>
                                <w:sz w:val="20"/>
                                <w:szCs w:val="20"/>
                              </w:rPr>
                              <w:t>(+65)</w:t>
                            </w:r>
                          </w:p>
                        </w:tc>
                        <w:tc>
                          <w:tcPr>
                            <w:tcW w:w="1440" w:type="dxa"/>
                            <w:tcBorders>
                              <w:top w:val="single" w:sz="4" w:space="0" w:color="auto"/>
                              <w:left w:val="nil"/>
                              <w:bottom w:val="nil"/>
                              <w:right w:val="nil"/>
                            </w:tcBorders>
                            <w:shd w:val="clear" w:color="auto" w:fill="auto"/>
                          </w:tcPr>
                          <w:p w14:paraId="2CB62D0B" w14:textId="49D8D963" w:rsidR="001C2D10" w:rsidRPr="001C2D10" w:rsidRDefault="001C2D10" w:rsidP="00A96C7C">
                            <w:pPr>
                              <w:jc w:val="center"/>
                              <w:rPr>
                                <w:rFonts w:ascii="Futura PT Book" w:eastAsia="Times New Roman" w:hAnsi="Futura PT Book"/>
                                <w:b/>
                                <w:color w:val="000000"/>
                                <w:sz w:val="20"/>
                                <w:szCs w:val="20"/>
                              </w:rPr>
                            </w:pPr>
                            <w:r w:rsidRPr="001C2D10">
                              <w:rPr>
                                <w:rFonts w:ascii="Futura PT Book" w:eastAsia="Times New Roman" w:hAnsi="Futura PT Book"/>
                                <w:b/>
                                <w:color w:val="000000"/>
                                <w:sz w:val="20"/>
                                <w:szCs w:val="20"/>
                              </w:rPr>
                              <w:t>$2.4 million</w:t>
                            </w:r>
                          </w:p>
                        </w:tc>
                      </w:tr>
                    </w:tbl>
                    <w:p w14:paraId="41C44FFA" w14:textId="77777777" w:rsidR="001C2D10" w:rsidRDefault="001C2D10" w:rsidP="00031E4A">
                      <w:pPr>
                        <w:rPr>
                          <w:b/>
                          <w:sz w:val="20"/>
                          <w:szCs w:val="20"/>
                        </w:rPr>
                      </w:pPr>
                    </w:p>
                  </w:txbxContent>
                </v:textbox>
                <w10:wrap type="square"/>
              </v:shape>
            </w:pict>
          </mc:Fallback>
        </mc:AlternateContent>
      </w:r>
    </w:p>
    <w:p w14:paraId="448EA4FF" w14:textId="77777777" w:rsidR="00031E4A" w:rsidRPr="00593817" w:rsidRDefault="00031E4A" w:rsidP="00031E4A">
      <w:pPr>
        <w:rPr>
          <w:color w:val="000000" w:themeColor="text1"/>
          <w:sz w:val="22"/>
          <w:szCs w:val="22"/>
        </w:rPr>
      </w:pPr>
      <w:r>
        <w:rPr>
          <w:b/>
          <w:color w:val="000000" w:themeColor="text1"/>
          <w:sz w:val="22"/>
        </w:rPr>
        <w:t xml:space="preserve">Southwest Idaho far surpasses other regions in the </w:t>
      </w:r>
      <w:r w:rsidRPr="00593817">
        <w:rPr>
          <w:b/>
          <w:color w:val="000000" w:themeColor="text1"/>
          <w:sz w:val="22"/>
        </w:rPr>
        <w:t xml:space="preserve">state in terms of account ownership. </w:t>
      </w:r>
    </w:p>
    <w:p w14:paraId="2F5CA8AC" w14:textId="77777777" w:rsidR="00031E4A" w:rsidRPr="00593817" w:rsidRDefault="00031E4A" w:rsidP="00031E4A">
      <w:pPr>
        <w:rPr>
          <w:b/>
          <w:color w:val="000000" w:themeColor="text1"/>
          <w:sz w:val="22"/>
        </w:rPr>
      </w:pPr>
    </w:p>
    <w:p w14:paraId="10BFA6C1" w14:textId="77777777" w:rsidR="00031E4A" w:rsidRPr="00593817" w:rsidRDefault="00031E4A" w:rsidP="00031E4A">
      <w:pPr>
        <w:rPr>
          <w:b/>
          <w:color w:val="000000" w:themeColor="text1"/>
          <w:sz w:val="22"/>
        </w:rPr>
      </w:pPr>
      <w:r w:rsidRPr="00593817">
        <w:rPr>
          <w:b/>
          <w:color w:val="000000" w:themeColor="text1"/>
          <w:sz w:val="22"/>
        </w:rPr>
        <w:t xml:space="preserve">However, we see promising trends in other parts of the state: </w:t>
      </w:r>
    </w:p>
    <w:p w14:paraId="236CEC8B" w14:textId="77777777" w:rsidR="00031E4A" w:rsidRPr="00593817" w:rsidRDefault="00031E4A" w:rsidP="00031E4A">
      <w:pPr>
        <w:rPr>
          <w:color w:val="000000" w:themeColor="text1"/>
          <w:sz w:val="22"/>
        </w:rPr>
      </w:pPr>
    </w:p>
    <w:p w14:paraId="24BB4D57" w14:textId="4486D875" w:rsidR="00031E4A" w:rsidRPr="00593817" w:rsidRDefault="00031E4A" w:rsidP="00031E4A">
      <w:pPr>
        <w:pStyle w:val="ListParagraph"/>
        <w:numPr>
          <w:ilvl w:val="0"/>
          <w:numId w:val="3"/>
        </w:numPr>
        <w:rPr>
          <w:rFonts w:ascii="Times New Roman" w:hAnsi="Times New Roman" w:cs="Times New Roman"/>
          <w:color w:val="000000" w:themeColor="text1"/>
          <w:sz w:val="22"/>
        </w:rPr>
      </w:pPr>
      <w:r w:rsidRPr="00593817">
        <w:rPr>
          <w:rFonts w:ascii="Times New Roman" w:hAnsi="Times New Roman" w:cs="Times New Roman"/>
          <w:color w:val="000000" w:themeColor="text1"/>
          <w:sz w:val="22"/>
        </w:rPr>
        <w:t xml:space="preserve">Regionally, eastern Idaho led the state in year-over-year growth in </w:t>
      </w:r>
      <w:r w:rsidR="0061445B">
        <w:rPr>
          <w:rFonts w:ascii="Times New Roman" w:hAnsi="Times New Roman" w:cs="Times New Roman"/>
          <w:color w:val="000000" w:themeColor="text1"/>
          <w:sz w:val="22"/>
        </w:rPr>
        <w:t xml:space="preserve">beneficiary </w:t>
      </w:r>
      <w:r w:rsidRPr="00593817">
        <w:rPr>
          <w:rFonts w:ascii="Times New Roman" w:hAnsi="Times New Roman" w:cs="Times New Roman"/>
          <w:color w:val="000000" w:themeColor="text1"/>
          <w:sz w:val="22"/>
        </w:rPr>
        <w:t xml:space="preserve">accounts held.  </w:t>
      </w:r>
      <w:r w:rsidR="003D5380" w:rsidRPr="00593817">
        <w:rPr>
          <w:rFonts w:ascii="Times New Roman" w:hAnsi="Times New Roman" w:cs="Times New Roman"/>
          <w:color w:val="000000" w:themeColor="text1"/>
          <w:sz w:val="22"/>
        </w:rPr>
        <w:br/>
      </w:r>
    </w:p>
    <w:p w14:paraId="6AC28B64" w14:textId="749996B4" w:rsidR="003D5380" w:rsidRPr="00593817" w:rsidRDefault="003D5380" w:rsidP="00031E4A">
      <w:pPr>
        <w:pStyle w:val="ListParagraph"/>
        <w:numPr>
          <w:ilvl w:val="0"/>
          <w:numId w:val="3"/>
        </w:numPr>
        <w:rPr>
          <w:rFonts w:ascii="Times New Roman" w:hAnsi="Times New Roman" w:cs="Times New Roman"/>
          <w:color w:val="000000" w:themeColor="text1"/>
          <w:sz w:val="22"/>
        </w:rPr>
      </w:pPr>
      <w:r w:rsidRPr="00593817">
        <w:rPr>
          <w:rFonts w:ascii="Times New Roman" w:hAnsi="Times New Roman" w:cs="Times New Roman"/>
          <w:color w:val="000000" w:themeColor="text1"/>
          <w:sz w:val="22"/>
        </w:rPr>
        <w:t>Regionally, north Idaho led the state in year-over-year account owner growth.</w:t>
      </w:r>
    </w:p>
    <w:p w14:paraId="296E40D0" w14:textId="77777777" w:rsidR="00031E4A" w:rsidRPr="00593817" w:rsidRDefault="00031E4A" w:rsidP="00031E4A">
      <w:pPr>
        <w:rPr>
          <w:color w:val="000000" w:themeColor="text1"/>
          <w:sz w:val="22"/>
        </w:rPr>
      </w:pPr>
    </w:p>
    <w:p w14:paraId="05B9251C" w14:textId="042AE0F1" w:rsidR="00031E4A" w:rsidRDefault="00031E4A" w:rsidP="00031E4A">
      <w:pPr>
        <w:rPr>
          <w:b/>
          <w:color w:val="000000" w:themeColor="text1"/>
          <w:sz w:val="22"/>
        </w:rPr>
      </w:pPr>
      <w:r w:rsidRPr="001C2D10">
        <w:rPr>
          <w:b/>
          <w:color w:val="000000" w:themeColor="text1"/>
          <w:sz w:val="22"/>
        </w:rPr>
        <w:t>The growth reflected in eastern and north Idaho</w:t>
      </w:r>
      <w:r w:rsidR="001C2D10">
        <w:rPr>
          <w:b/>
          <w:color w:val="000000" w:themeColor="text1"/>
          <w:sz w:val="22"/>
        </w:rPr>
        <w:t xml:space="preserve"> particularly—and across all the state’s regions—reflect </w:t>
      </w:r>
      <w:r w:rsidRPr="001C2D10">
        <w:rPr>
          <w:b/>
          <w:color w:val="000000" w:themeColor="text1"/>
          <w:sz w:val="22"/>
        </w:rPr>
        <w:t xml:space="preserve">a concerted effort on part of </w:t>
      </w:r>
      <w:proofErr w:type="spellStart"/>
      <w:r w:rsidRPr="001C2D10">
        <w:rPr>
          <w:b/>
          <w:color w:val="000000" w:themeColor="text1"/>
          <w:sz w:val="22"/>
        </w:rPr>
        <w:t>IDeal</w:t>
      </w:r>
      <w:proofErr w:type="spellEnd"/>
      <w:r w:rsidRPr="001C2D10">
        <w:rPr>
          <w:b/>
          <w:color w:val="000000" w:themeColor="text1"/>
          <w:sz w:val="22"/>
        </w:rPr>
        <w:t>, its partner organizations, and community stakeholders to spread the word about college savings to every corner of the state.</w:t>
      </w:r>
      <w:r>
        <w:rPr>
          <w:b/>
          <w:color w:val="000000" w:themeColor="text1"/>
          <w:sz w:val="22"/>
        </w:rPr>
        <w:t xml:space="preserve"> </w:t>
      </w:r>
    </w:p>
    <w:p w14:paraId="7C042842" w14:textId="46895A59" w:rsidR="0061445B" w:rsidRDefault="0061445B" w:rsidP="00031E4A">
      <w:pPr>
        <w:rPr>
          <w:b/>
          <w:color w:val="000000" w:themeColor="text1"/>
          <w:sz w:val="22"/>
        </w:rPr>
      </w:pPr>
    </w:p>
    <w:p w14:paraId="1E5BD13D" w14:textId="5FAD5E8E" w:rsidR="0061445B" w:rsidRDefault="0061445B" w:rsidP="00031E4A">
      <w:pPr>
        <w:rPr>
          <w:b/>
          <w:color w:val="000000" w:themeColor="text1"/>
          <w:sz w:val="22"/>
        </w:rPr>
      </w:pPr>
      <w:r>
        <w:rPr>
          <w:b/>
          <w:color w:val="000000" w:themeColor="text1"/>
          <w:sz w:val="22"/>
        </w:rPr>
        <w:t>An Account Owner may have more than one beneficiary.</w:t>
      </w:r>
    </w:p>
    <w:p w14:paraId="2AD169D5" w14:textId="77777777" w:rsidR="00031E4A" w:rsidRDefault="00031E4A" w:rsidP="00031E4A">
      <w:pPr>
        <w:rPr>
          <w:color w:val="000000" w:themeColor="text1"/>
          <w:sz w:val="22"/>
        </w:rPr>
      </w:pPr>
      <w:r>
        <w:rPr>
          <w:color w:val="000000" w:themeColor="text1"/>
          <w:sz w:val="22"/>
        </w:rPr>
        <w:br w:type="page"/>
      </w:r>
    </w:p>
    <w:p w14:paraId="142A40FA" w14:textId="77777777" w:rsidR="00031E4A" w:rsidRDefault="00031E4A" w:rsidP="00031E4A">
      <w:pPr>
        <w:rPr>
          <w:b/>
          <w:bCs/>
          <w:color w:val="000000" w:themeColor="text1"/>
          <w:sz w:val="32"/>
        </w:rPr>
      </w:pPr>
      <w:r>
        <w:rPr>
          <w:b/>
          <w:bCs/>
          <w:color w:val="000000" w:themeColor="text1"/>
          <w:sz w:val="32"/>
        </w:rPr>
        <w:lastRenderedPageBreak/>
        <w:t>North Idaho Findings</w:t>
      </w:r>
    </w:p>
    <w:p w14:paraId="340B75FC" w14:textId="77777777" w:rsidR="00031E4A" w:rsidRDefault="00031E4A" w:rsidP="00031E4A">
      <w:pPr>
        <w:rPr>
          <w:color w:val="000000" w:themeColor="text1"/>
        </w:rPr>
      </w:pPr>
    </w:p>
    <w:p w14:paraId="36BA231B" w14:textId="288B10C3" w:rsidR="00031E4A" w:rsidRDefault="00031E4A" w:rsidP="00031E4A">
      <w:pPr>
        <w:pStyle w:val="ListParagraph"/>
        <w:numPr>
          <w:ilvl w:val="0"/>
          <w:numId w:val="4"/>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North Idaho families have $5.</w:t>
      </w:r>
      <w:r w:rsidR="00F62161">
        <w:rPr>
          <w:rFonts w:ascii="Times New Roman" w:hAnsi="Times New Roman" w:cs="Times New Roman"/>
          <w:color w:val="000000" w:themeColor="text1"/>
          <w:sz w:val="22"/>
          <w:szCs w:val="22"/>
        </w:rPr>
        <w:t xml:space="preserve">9 </w:t>
      </w:r>
      <w:r>
        <w:rPr>
          <w:rFonts w:ascii="Times New Roman" w:hAnsi="Times New Roman" w:cs="Times New Roman"/>
          <w:color w:val="000000" w:themeColor="text1"/>
          <w:sz w:val="22"/>
          <w:szCs w:val="22"/>
        </w:rPr>
        <w:t xml:space="preserve">million more in their </w:t>
      </w:r>
      <w:proofErr w:type="spellStart"/>
      <w:r>
        <w:rPr>
          <w:rFonts w:ascii="Times New Roman" w:hAnsi="Times New Roman" w:cs="Times New Roman"/>
          <w:color w:val="000000" w:themeColor="text1"/>
          <w:sz w:val="22"/>
          <w:szCs w:val="22"/>
        </w:rPr>
        <w:t>IDeal</w:t>
      </w:r>
      <w:proofErr w:type="spellEnd"/>
      <w:r>
        <w:rPr>
          <w:rFonts w:ascii="Times New Roman" w:hAnsi="Times New Roman" w:cs="Times New Roman"/>
          <w:color w:val="000000" w:themeColor="text1"/>
          <w:sz w:val="22"/>
          <w:szCs w:val="22"/>
        </w:rPr>
        <w:t xml:space="preserve"> college savings a</w:t>
      </w:r>
      <w:r w:rsidR="00A2154B">
        <w:rPr>
          <w:rFonts w:ascii="Times New Roman" w:hAnsi="Times New Roman" w:cs="Times New Roman"/>
          <w:color w:val="000000" w:themeColor="text1"/>
          <w:sz w:val="22"/>
          <w:szCs w:val="22"/>
        </w:rPr>
        <w:t>ccounts than they did a year prior</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br/>
      </w:r>
    </w:p>
    <w:p w14:paraId="1DE1A57E" w14:textId="77777777" w:rsidR="00031E4A" w:rsidRDefault="00031E4A" w:rsidP="00031E4A">
      <w:pPr>
        <w:pStyle w:val="ListParagraph"/>
        <w:numPr>
          <w:ilvl w:val="0"/>
          <w:numId w:val="4"/>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Idaho County led North Idaho in growth in account ownership over the past year.</w:t>
      </w:r>
      <w:r>
        <w:rPr>
          <w:rFonts w:ascii="Times New Roman" w:hAnsi="Times New Roman" w:cs="Times New Roman"/>
          <w:color w:val="000000" w:themeColor="text1"/>
          <w:sz w:val="22"/>
          <w:szCs w:val="22"/>
        </w:rPr>
        <w:br/>
      </w:r>
    </w:p>
    <w:p w14:paraId="74968EB7" w14:textId="2A5E4BB8" w:rsidR="00031E4A" w:rsidRDefault="00031E4A" w:rsidP="00031E4A">
      <w:pPr>
        <w:pStyle w:val="ListParagraph"/>
        <w:numPr>
          <w:ilvl w:val="0"/>
          <w:numId w:val="3"/>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Of counties with a population over 25,000, Bonner and Nez Perce </w:t>
      </w:r>
      <w:r w:rsidR="003B15FA">
        <w:rPr>
          <w:rFonts w:ascii="Times New Roman" w:hAnsi="Times New Roman" w:cs="Times New Roman"/>
          <w:color w:val="000000" w:themeColor="text1"/>
          <w:sz w:val="22"/>
          <w:szCs w:val="22"/>
        </w:rPr>
        <w:t xml:space="preserve">led </w:t>
      </w:r>
      <w:r>
        <w:rPr>
          <w:rFonts w:ascii="Times New Roman" w:hAnsi="Times New Roman" w:cs="Times New Roman"/>
          <w:color w:val="000000" w:themeColor="text1"/>
          <w:sz w:val="22"/>
          <w:szCs w:val="22"/>
        </w:rPr>
        <w:t xml:space="preserve">the entire state in growth in college savings ownership over the past year. </w:t>
      </w:r>
      <w:r>
        <w:rPr>
          <w:rFonts w:ascii="Times New Roman" w:hAnsi="Times New Roman" w:cs="Times New Roman"/>
          <w:color w:val="000000" w:themeColor="text1"/>
          <w:sz w:val="22"/>
          <w:szCs w:val="22"/>
        </w:rPr>
        <w:br/>
      </w:r>
    </w:p>
    <w:p w14:paraId="4EEDE84F" w14:textId="71685F62" w:rsidR="00031E4A" w:rsidRPr="006569BF" w:rsidRDefault="006569BF" w:rsidP="00031E4A">
      <w:pPr>
        <w:pStyle w:val="ListParagraph"/>
        <w:numPr>
          <w:ilvl w:val="0"/>
          <w:numId w:val="3"/>
        </w:numPr>
        <w:rPr>
          <w:rFonts w:ascii="Times New Roman" w:hAnsi="Times New Roman" w:cs="Times New Roman"/>
          <w:color w:val="000000" w:themeColor="text1"/>
          <w:sz w:val="22"/>
        </w:rPr>
      </w:pPr>
      <w:r w:rsidRPr="0030203B">
        <w:rPr>
          <w:rFonts w:ascii="Times New Roman" w:hAnsi="Times New Roman" w:cs="Times New Roman"/>
          <w:color w:val="000000" w:themeColor="text1"/>
          <w:sz w:val="22"/>
          <w:szCs w:val="22"/>
        </w:rPr>
        <w:t xml:space="preserve">Kootenai County residents used over </w:t>
      </w:r>
      <w:r w:rsidR="00B53F25">
        <w:rPr>
          <w:rFonts w:ascii="Times New Roman" w:hAnsi="Times New Roman" w:cs="Times New Roman"/>
          <w:color w:val="000000" w:themeColor="text1"/>
          <w:sz w:val="22"/>
          <w:szCs w:val="22"/>
        </w:rPr>
        <w:t xml:space="preserve">$1.9 </w:t>
      </w:r>
      <w:r w:rsidR="000466E9">
        <w:rPr>
          <w:rFonts w:ascii="Times New Roman" w:hAnsi="Times New Roman" w:cs="Times New Roman"/>
          <w:color w:val="000000" w:themeColor="text1"/>
          <w:sz w:val="22"/>
          <w:szCs w:val="22"/>
        </w:rPr>
        <w:t>million</w:t>
      </w:r>
      <w:r w:rsidRPr="0030203B">
        <w:rPr>
          <w:rFonts w:ascii="Times New Roman" w:hAnsi="Times New Roman" w:cs="Times New Roman"/>
          <w:color w:val="000000" w:themeColor="text1"/>
          <w:sz w:val="22"/>
          <w:szCs w:val="22"/>
        </w:rPr>
        <w:t xml:space="preserve"> through </w:t>
      </w:r>
      <w:proofErr w:type="spellStart"/>
      <w:r w:rsidRPr="0030203B">
        <w:rPr>
          <w:rFonts w:ascii="Times New Roman" w:hAnsi="Times New Roman" w:cs="Times New Roman"/>
          <w:color w:val="000000" w:themeColor="text1"/>
          <w:sz w:val="22"/>
          <w:szCs w:val="22"/>
        </w:rPr>
        <w:t>IDeal</w:t>
      </w:r>
      <w:proofErr w:type="spellEnd"/>
      <w:r w:rsidRPr="0030203B">
        <w:rPr>
          <w:rFonts w:ascii="Times New Roman" w:hAnsi="Times New Roman" w:cs="Times New Roman"/>
          <w:color w:val="000000" w:themeColor="text1"/>
          <w:sz w:val="22"/>
          <w:szCs w:val="22"/>
        </w:rPr>
        <w:t xml:space="preserve"> toward higher education </w:t>
      </w:r>
      <w:r w:rsidR="00031E4A" w:rsidRPr="0030203B">
        <w:rPr>
          <w:rFonts w:ascii="Times New Roman" w:hAnsi="Times New Roman" w:cs="Times New Roman"/>
          <w:color w:val="000000" w:themeColor="text1"/>
          <w:sz w:val="22"/>
          <w:szCs w:val="22"/>
        </w:rPr>
        <w:t>over the past year.</w:t>
      </w:r>
      <w:r w:rsidR="00031E4A" w:rsidRPr="006569BF">
        <w:rPr>
          <w:rFonts w:ascii="Times New Roman" w:hAnsi="Times New Roman" w:cs="Times New Roman"/>
          <w:color w:val="000000" w:themeColor="text1"/>
          <w:sz w:val="22"/>
        </w:rPr>
        <w:t xml:space="preserve">  </w:t>
      </w:r>
    </w:p>
    <w:p w14:paraId="17F5F2D9" w14:textId="77777777" w:rsidR="00031E4A" w:rsidRDefault="00031E4A" w:rsidP="00031E4A">
      <w:pPr>
        <w:rPr>
          <w:color w:val="000000" w:themeColor="text1"/>
        </w:rPr>
      </w:pPr>
    </w:p>
    <w:p w14:paraId="517221A2" w14:textId="77777777" w:rsidR="00031E4A" w:rsidRDefault="00031E4A" w:rsidP="00031E4A">
      <w:pPr>
        <w:rPr>
          <w:color w:val="000000" w:themeColor="text1"/>
        </w:rPr>
      </w:pPr>
    </w:p>
    <w:tbl>
      <w:tblPr>
        <w:tblW w:w="9460" w:type="dxa"/>
        <w:tblInd w:w="849" w:type="dxa"/>
        <w:tblLayout w:type="fixed"/>
        <w:tblLook w:val="04A0" w:firstRow="1" w:lastRow="0" w:firstColumn="1" w:lastColumn="0" w:noHBand="0" w:noVBand="1"/>
      </w:tblPr>
      <w:tblGrid>
        <w:gridCol w:w="2461"/>
        <w:gridCol w:w="1773"/>
        <w:gridCol w:w="2613"/>
        <w:gridCol w:w="2613"/>
      </w:tblGrid>
      <w:tr w:rsidR="00031E4A" w14:paraId="6A516222" w14:textId="77777777" w:rsidTr="00881D25">
        <w:trPr>
          <w:trHeight w:val="990"/>
        </w:trPr>
        <w:tc>
          <w:tcPr>
            <w:tcW w:w="2459" w:type="dxa"/>
            <w:noWrap/>
            <w:vAlign w:val="center"/>
            <w:hideMark/>
          </w:tcPr>
          <w:p w14:paraId="2281238A" w14:textId="77777777" w:rsidR="00031E4A" w:rsidRPr="00881D25" w:rsidRDefault="00031E4A" w:rsidP="00881D25">
            <w:pPr>
              <w:jc w:val="center"/>
              <w:rPr>
                <w:color w:val="000000" w:themeColor="text1"/>
                <w:sz w:val="22"/>
                <w:szCs w:val="22"/>
              </w:rPr>
            </w:pPr>
          </w:p>
        </w:tc>
        <w:tc>
          <w:tcPr>
            <w:tcW w:w="1771" w:type="dxa"/>
            <w:noWrap/>
            <w:vAlign w:val="center"/>
            <w:hideMark/>
          </w:tcPr>
          <w:p w14:paraId="4F3D16E2" w14:textId="77777777" w:rsidR="00031E4A" w:rsidRPr="00881D25" w:rsidRDefault="00031E4A" w:rsidP="00881D25">
            <w:pPr>
              <w:jc w:val="center"/>
              <w:rPr>
                <w:rFonts w:eastAsia="Times New Roman"/>
                <w:b/>
                <w:color w:val="000000"/>
                <w:sz w:val="22"/>
                <w:szCs w:val="22"/>
              </w:rPr>
            </w:pPr>
            <w:r w:rsidRPr="00881D25">
              <w:rPr>
                <w:rFonts w:eastAsia="Times New Roman"/>
                <w:b/>
                <w:color w:val="000000"/>
                <w:sz w:val="22"/>
                <w:szCs w:val="22"/>
              </w:rPr>
              <w:t>Account Owner % Change</w:t>
            </w:r>
          </w:p>
        </w:tc>
        <w:tc>
          <w:tcPr>
            <w:tcW w:w="2610" w:type="dxa"/>
            <w:vAlign w:val="center"/>
            <w:hideMark/>
          </w:tcPr>
          <w:p w14:paraId="75A3CD51" w14:textId="5264CA0A" w:rsidR="00031E4A" w:rsidRPr="00881D25" w:rsidRDefault="00031E4A" w:rsidP="00881D25">
            <w:pPr>
              <w:jc w:val="center"/>
              <w:rPr>
                <w:rFonts w:eastAsia="Times New Roman"/>
                <w:b/>
                <w:color w:val="000000"/>
                <w:sz w:val="22"/>
                <w:szCs w:val="22"/>
              </w:rPr>
            </w:pPr>
            <w:r w:rsidRPr="00881D25">
              <w:rPr>
                <w:rFonts w:eastAsia="Times New Roman"/>
                <w:b/>
                <w:color w:val="000000"/>
                <w:sz w:val="22"/>
                <w:szCs w:val="22"/>
              </w:rPr>
              <w:t xml:space="preserve">Approximate </w:t>
            </w:r>
            <w:r w:rsidR="0030203B" w:rsidRPr="00881D25">
              <w:rPr>
                <w:rFonts w:eastAsia="Times New Roman"/>
                <w:b/>
                <w:color w:val="000000"/>
                <w:sz w:val="22"/>
                <w:szCs w:val="22"/>
              </w:rPr>
              <w:t>Change in Savings</w:t>
            </w:r>
          </w:p>
        </w:tc>
        <w:tc>
          <w:tcPr>
            <w:tcW w:w="2610" w:type="dxa"/>
            <w:vAlign w:val="center"/>
            <w:hideMark/>
          </w:tcPr>
          <w:p w14:paraId="280887E0" w14:textId="17D31ABE" w:rsidR="00031E4A" w:rsidRPr="00881D25" w:rsidRDefault="001C2D10" w:rsidP="00881D25">
            <w:pPr>
              <w:jc w:val="center"/>
              <w:rPr>
                <w:rFonts w:eastAsia="Times New Roman"/>
                <w:b/>
                <w:color w:val="000000"/>
                <w:sz w:val="22"/>
                <w:szCs w:val="22"/>
              </w:rPr>
            </w:pPr>
            <w:r w:rsidRPr="00881D25">
              <w:rPr>
                <w:rFonts w:eastAsia="Times New Roman"/>
                <w:b/>
                <w:color w:val="000000"/>
                <w:sz w:val="22"/>
                <w:szCs w:val="22"/>
              </w:rPr>
              <w:t>Account withdrawals to pay for higher education</w:t>
            </w:r>
          </w:p>
        </w:tc>
      </w:tr>
      <w:tr w:rsidR="00031E4A" w14:paraId="22AE1A39" w14:textId="77777777" w:rsidTr="00881D25">
        <w:trPr>
          <w:trHeight w:val="420"/>
        </w:trPr>
        <w:tc>
          <w:tcPr>
            <w:tcW w:w="2459" w:type="dxa"/>
            <w:tcBorders>
              <w:top w:val="nil"/>
              <w:left w:val="nil"/>
              <w:bottom w:val="single" w:sz="4" w:space="0" w:color="auto"/>
              <w:right w:val="nil"/>
            </w:tcBorders>
            <w:noWrap/>
            <w:vAlign w:val="center"/>
          </w:tcPr>
          <w:p w14:paraId="4F2E9050" w14:textId="77777777" w:rsidR="00031E4A" w:rsidRPr="00881D25" w:rsidRDefault="00031E4A" w:rsidP="00881D25">
            <w:pPr>
              <w:jc w:val="center"/>
              <w:rPr>
                <w:rFonts w:eastAsia="Times New Roman"/>
                <w:color w:val="000000"/>
                <w:sz w:val="22"/>
                <w:szCs w:val="22"/>
              </w:rPr>
            </w:pPr>
          </w:p>
          <w:p w14:paraId="48631E5C" w14:textId="77777777" w:rsidR="00031E4A" w:rsidRPr="00881D25" w:rsidRDefault="00031E4A" w:rsidP="00881D25">
            <w:pPr>
              <w:jc w:val="center"/>
              <w:rPr>
                <w:rFonts w:eastAsia="Times New Roman"/>
                <w:color w:val="000000"/>
                <w:sz w:val="22"/>
                <w:szCs w:val="22"/>
              </w:rPr>
            </w:pPr>
            <w:r w:rsidRPr="00881D25">
              <w:rPr>
                <w:rFonts w:eastAsia="Times New Roman"/>
                <w:color w:val="000000"/>
                <w:sz w:val="22"/>
                <w:szCs w:val="22"/>
              </w:rPr>
              <w:t>Idaho County</w:t>
            </w:r>
          </w:p>
        </w:tc>
        <w:tc>
          <w:tcPr>
            <w:tcW w:w="1771" w:type="dxa"/>
            <w:tcBorders>
              <w:top w:val="nil"/>
              <w:left w:val="nil"/>
              <w:bottom w:val="single" w:sz="4" w:space="0" w:color="auto"/>
              <w:right w:val="nil"/>
            </w:tcBorders>
            <w:vAlign w:val="center"/>
            <w:hideMark/>
          </w:tcPr>
          <w:p w14:paraId="3AD83163" w14:textId="77777777" w:rsidR="00031E4A" w:rsidRPr="00881D25" w:rsidRDefault="00881D25" w:rsidP="00881D25">
            <w:pPr>
              <w:jc w:val="center"/>
              <w:rPr>
                <w:rFonts w:eastAsia="Times New Roman"/>
                <w:color w:val="000000"/>
                <w:sz w:val="22"/>
                <w:szCs w:val="22"/>
              </w:rPr>
            </w:pPr>
            <w:r w:rsidRPr="00881D25">
              <w:rPr>
                <w:rFonts w:eastAsia="Times New Roman"/>
                <w:color w:val="000000"/>
                <w:sz w:val="22"/>
                <w:szCs w:val="22"/>
              </w:rPr>
              <w:t>9</w:t>
            </w:r>
            <w:r w:rsidR="00031E4A" w:rsidRPr="00881D25">
              <w:rPr>
                <w:rFonts w:eastAsia="Times New Roman"/>
                <w:color w:val="000000"/>
                <w:sz w:val="22"/>
                <w:szCs w:val="22"/>
              </w:rPr>
              <w:t>%</w:t>
            </w:r>
          </w:p>
          <w:p w14:paraId="1D908C56" w14:textId="12EB6428" w:rsidR="00881D25" w:rsidRPr="00881D25" w:rsidRDefault="00881D25" w:rsidP="00881D25">
            <w:pPr>
              <w:jc w:val="center"/>
              <w:rPr>
                <w:rFonts w:eastAsia="Times New Roman"/>
                <w:color w:val="000000"/>
                <w:sz w:val="22"/>
                <w:szCs w:val="22"/>
              </w:rPr>
            </w:pPr>
            <w:r w:rsidRPr="00881D25">
              <w:rPr>
                <w:rFonts w:eastAsia="Times New Roman"/>
                <w:color w:val="000000"/>
                <w:sz w:val="22"/>
                <w:szCs w:val="22"/>
              </w:rPr>
              <w:t>(+4)</w:t>
            </w:r>
          </w:p>
        </w:tc>
        <w:tc>
          <w:tcPr>
            <w:tcW w:w="2610" w:type="dxa"/>
            <w:tcBorders>
              <w:top w:val="nil"/>
              <w:left w:val="nil"/>
              <w:bottom w:val="single" w:sz="4" w:space="0" w:color="auto"/>
              <w:right w:val="nil"/>
            </w:tcBorders>
            <w:vAlign w:val="center"/>
            <w:hideMark/>
          </w:tcPr>
          <w:p w14:paraId="4D647BB5" w14:textId="67053C69" w:rsidR="00031E4A" w:rsidRPr="00881D25" w:rsidRDefault="00031E4A" w:rsidP="005F3E75">
            <w:pPr>
              <w:jc w:val="center"/>
              <w:rPr>
                <w:rFonts w:eastAsia="Times New Roman"/>
                <w:color w:val="000000"/>
                <w:sz w:val="22"/>
                <w:szCs w:val="22"/>
              </w:rPr>
            </w:pPr>
            <w:r w:rsidRPr="00881D25">
              <w:rPr>
                <w:rFonts w:eastAsia="Times New Roman"/>
                <w:color w:val="000000"/>
                <w:sz w:val="22"/>
                <w:szCs w:val="22"/>
              </w:rPr>
              <w:t>$159,</w:t>
            </w:r>
            <w:r w:rsidR="005F3E75">
              <w:rPr>
                <w:rFonts w:eastAsia="Times New Roman"/>
                <w:color w:val="000000"/>
                <w:sz w:val="22"/>
                <w:szCs w:val="22"/>
              </w:rPr>
              <w:t>000</w:t>
            </w:r>
          </w:p>
        </w:tc>
        <w:tc>
          <w:tcPr>
            <w:tcW w:w="2610" w:type="dxa"/>
            <w:tcBorders>
              <w:top w:val="nil"/>
              <w:left w:val="nil"/>
              <w:bottom w:val="single" w:sz="4" w:space="0" w:color="auto"/>
              <w:right w:val="nil"/>
            </w:tcBorders>
            <w:vAlign w:val="center"/>
          </w:tcPr>
          <w:p w14:paraId="22EABF00" w14:textId="3ABE6908" w:rsidR="00031E4A" w:rsidRPr="00881D25" w:rsidRDefault="008A5521" w:rsidP="00881D25">
            <w:pPr>
              <w:jc w:val="center"/>
              <w:rPr>
                <w:rFonts w:eastAsia="Times New Roman"/>
                <w:color w:val="000000"/>
                <w:sz w:val="22"/>
                <w:szCs w:val="22"/>
              </w:rPr>
            </w:pPr>
            <w:r w:rsidRPr="00881D25">
              <w:rPr>
                <w:rFonts w:eastAsia="Times New Roman"/>
                <w:color w:val="000000"/>
                <w:sz w:val="22"/>
                <w:szCs w:val="22"/>
              </w:rPr>
              <w:t>$48,000</w:t>
            </w:r>
          </w:p>
        </w:tc>
      </w:tr>
      <w:tr w:rsidR="00031E4A" w14:paraId="35ED6D46" w14:textId="77777777" w:rsidTr="00881D25">
        <w:trPr>
          <w:trHeight w:val="449"/>
        </w:trPr>
        <w:tc>
          <w:tcPr>
            <w:tcW w:w="2459" w:type="dxa"/>
            <w:tcBorders>
              <w:top w:val="single" w:sz="4" w:space="0" w:color="auto"/>
              <w:left w:val="nil"/>
              <w:bottom w:val="single" w:sz="4" w:space="0" w:color="auto"/>
              <w:right w:val="nil"/>
            </w:tcBorders>
            <w:noWrap/>
            <w:vAlign w:val="center"/>
            <w:hideMark/>
          </w:tcPr>
          <w:p w14:paraId="0C30D188" w14:textId="77777777" w:rsidR="00031E4A" w:rsidRPr="00881D25" w:rsidRDefault="00031E4A" w:rsidP="00881D25">
            <w:pPr>
              <w:jc w:val="center"/>
              <w:rPr>
                <w:rFonts w:eastAsia="Times New Roman"/>
                <w:color w:val="000000"/>
                <w:sz w:val="22"/>
                <w:szCs w:val="22"/>
              </w:rPr>
            </w:pPr>
            <w:r w:rsidRPr="00881D25">
              <w:rPr>
                <w:rFonts w:eastAsia="Times New Roman"/>
                <w:color w:val="000000"/>
                <w:sz w:val="22"/>
                <w:szCs w:val="22"/>
              </w:rPr>
              <w:t>Bonner County</w:t>
            </w:r>
          </w:p>
        </w:tc>
        <w:tc>
          <w:tcPr>
            <w:tcW w:w="1771" w:type="dxa"/>
            <w:tcBorders>
              <w:top w:val="single" w:sz="4" w:space="0" w:color="auto"/>
              <w:left w:val="nil"/>
              <w:bottom w:val="single" w:sz="4" w:space="0" w:color="auto"/>
              <w:right w:val="nil"/>
            </w:tcBorders>
            <w:vAlign w:val="center"/>
            <w:hideMark/>
          </w:tcPr>
          <w:p w14:paraId="6B6E070E" w14:textId="77777777" w:rsidR="00031E4A" w:rsidRPr="00881D25" w:rsidRDefault="00881D25" w:rsidP="00881D25">
            <w:pPr>
              <w:jc w:val="center"/>
              <w:rPr>
                <w:rFonts w:eastAsia="Times New Roman"/>
                <w:color w:val="000000"/>
                <w:sz w:val="22"/>
                <w:szCs w:val="22"/>
              </w:rPr>
            </w:pPr>
            <w:r w:rsidRPr="00881D25">
              <w:rPr>
                <w:rFonts w:eastAsia="Times New Roman"/>
                <w:color w:val="000000"/>
                <w:sz w:val="22"/>
                <w:szCs w:val="22"/>
              </w:rPr>
              <w:t>4.9</w:t>
            </w:r>
            <w:r w:rsidR="00031E4A" w:rsidRPr="00881D25">
              <w:rPr>
                <w:rFonts w:eastAsia="Times New Roman"/>
                <w:color w:val="000000"/>
                <w:sz w:val="22"/>
                <w:szCs w:val="22"/>
              </w:rPr>
              <w:t>%</w:t>
            </w:r>
          </w:p>
          <w:p w14:paraId="47E2F332" w14:textId="77118A96" w:rsidR="00881D25" w:rsidRPr="00881D25" w:rsidRDefault="00881D25" w:rsidP="00881D25">
            <w:pPr>
              <w:jc w:val="center"/>
              <w:rPr>
                <w:rFonts w:eastAsia="Times New Roman"/>
                <w:color w:val="000000"/>
                <w:sz w:val="22"/>
                <w:szCs w:val="22"/>
              </w:rPr>
            </w:pPr>
            <w:r w:rsidRPr="00881D25">
              <w:rPr>
                <w:rFonts w:eastAsia="Times New Roman"/>
                <w:color w:val="000000"/>
                <w:sz w:val="22"/>
                <w:szCs w:val="22"/>
              </w:rPr>
              <w:t>(+10)</w:t>
            </w:r>
          </w:p>
        </w:tc>
        <w:tc>
          <w:tcPr>
            <w:tcW w:w="2610" w:type="dxa"/>
            <w:tcBorders>
              <w:top w:val="single" w:sz="4" w:space="0" w:color="auto"/>
              <w:left w:val="nil"/>
              <w:bottom w:val="single" w:sz="4" w:space="0" w:color="auto"/>
              <w:right w:val="nil"/>
            </w:tcBorders>
            <w:vAlign w:val="center"/>
            <w:hideMark/>
          </w:tcPr>
          <w:p w14:paraId="6898A61E" w14:textId="3A4B2D7E" w:rsidR="00031E4A" w:rsidRPr="00881D25" w:rsidRDefault="00031E4A" w:rsidP="005F3E75">
            <w:pPr>
              <w:jc w:val="center"/>
              <w:rPr>
                <w:rFonts w:eastAsia="Times New Roman"/>
                <w:color w:val="000000"/>
                <w:sz w:val="22"/>
                <w:szCs w:val="22"/>
              </w:rPr>
            </w:pPr>
            <w:r w:rsidRPr="00881D25">
              <w:rPr>
                <w:rFonts w:eastAsia="Times New Roman"/>
                <w:color w:val="000000"/>
                <w:sz w:val="22"/>
                <w:szCs w:val="22"/>
              </w:rPr>
              <w:t>$454,</w:t>
            </w:r>
            <w:r w:rsidR="005F3E75">
              <w:rPr>
                <w:rFonts w:eastAsia="Times New Roman"/>
                <w:color w:val="000000"/>
                <w:sz w:val="22"/>
                <w:szCs w:val="22"/>
              </w:rPr>
              <w:t>000</w:t>
            </w:r>
          </w:p>
        </w:tc>
        <w:tc>
          <w:tcPr>
            <w:tcW w:w="2610" w:type="dxa"/>
            <w:tcBorders>
              <w:top w:val="single" w:sz="4" w:space="0" w:color="auto"/>
              <w:left w:val="nil"/>
              <w:bottom w:val="single" w:sz="4" w:space="0" w:color="auto"/>
              <w:right w:val="nil"/>
            </w:tcBorders>
            <w:vAlign w:val="center"/>
          </w:tcPr>
          <w:p w14:paraId="4329CEC0" w14:textId="0D3F9303" w:rsidR="00031E4A" w:rsidRPr="00881D25" w:rsidRDefault="008A5521" w:rsidP="00881D25">
            <w:pPr>
              <w:jc w:val="center"/>
              <w:rPr>
                <w:rFonts w:eastAsia="Times New Roman"/>
                <w:color w:val="000000"/>
                <w:sz w:val="22"/>
                <w:szCs w:val="22"/>
              </w:rPr>
            </w:pPr>
            <w:r w:rsidRPr="00881D25">
              <w:rPr>
                <w:rFonts w:eastAsia="Times New Roman"/>
                <w:color w:val="000000"/>
                <w:sz w:val="22"/>
                <w:szCs w:val="22"/>
              </w:rPr>
              <w:t>$423,000</w:t>
            </w:r>
          </w:p>
        </w:tc>
      </w:tr>
      <w:tr w:rsidR="00031E4A" w14:paraId="6864871D" w14:textId="77777777" w:rsidTr="00881D25">
        <w:trPr>
          <w:trHeight w:val="420"/>
        </w:trPr>
        <w:tc>
          <w:tcPr>
            <w:tcW w:w="2459" w:type="dxa"/>
            <w:tcBorders>
              <w:top w:val="single" w:sz="4" w:space="0" w:color="auto"/>
              <w:left w:val="nil"/>
              <w:bottom w:val="single" w:sz="4" w:space="0" w:color="auto"/>
              <w:right w:val="nil"/>
            </w:tcBorders>
            <w:noWrap/>
            <w:vAlign w:val="center"/>
            <w:hideMark/>
          </w:tcPr>
          <w:p w14:paraId="7085E1E1" w14:textId="77777777" w:rsidR="00031E4A" w:rsidRPr="00881D25" w:rsidRDefault="00031E4A" w:rsidP="00881D25">
            <w:pPr>
              <w:jc w:val="center"/>
              <w:rPr>
                <w:rFonts w:eastAsia="Times New Roman"/>
                <w:color w:val="000000"/>
                <w:sz w:val="22"/>
                <w:szCs w:val="22"/>
              </w:rPr>
            </w:pPr>
            <w:r w:rsidRPr="00881D25">
              <w:rPr>
                <w:rFonts w:eastAsia="Times New Roman"/>
                <w:color w:val="000000"/>
                <w:sz w:val="22"/>
                <w:szCs w:val="22"/>
              </w:rPr>
              <w:t>Nez Perce County</w:t>
            </w:r>
          </w:p>
        </w:tc>
        <w:tc>
          <w:tcPr>
            <w:tcW w:w="1771" w:type="dxa"/>
            <w:tcBorders>
              <w:top w:val="single" w:sz="4" w:space="0" w:color="auto"/>
              <w:left w:val="nil"/>
              <w:bottom w:val="single" w:sz="4" w:space="0" w:color="auto"/>
              <w:right w:val="nil"/>
            </w:tcBorders>
            <w:vAlign w:val="center"/>
            <w:hideMark/>
          </w:tcPr>
          <w:p w14:paraId="76FE88E9" w14:textId="77777777" w:rsidR="00031E4A" w:rsidRPr="00881D25" w:rsidRDefault="00881D25" w:rsidP="00881D25">
            <w:pPr>
              <w:jc w:val="center"/>
              <w:rPr>
                <w:rFonts w:eastAsia="Times New Roman"/>
                <w:color w:val="000000"/>
                <w:sz w:val="22"/>
                <w:szCs w:val="22"/>
              </w:rPr>
            </w:pPr>
            <w:r w:rsidRPr="00881D25">
              <w:rPr>
                <w:rFonts w:eastAsia="Times New Roman"/>
                <w:color w:val="000000"/>
                <w:sz w:val="22"/>
                <w:szCs w:val="22"/>
              </w:rPr>
              <w:t>3.7</w:t>
            </w:r>
            <w:r w:rsidR="00031E4A" w:rsidRPr="00881D25">
              <w:rPr>
                <w:rFonts w:eastAsia="Times New Roman"/>
                <w:color w:val="000000"/>
                <w:sz w:val="22"/>
                <w:szCs w:val="22"/>
              </w:rPr>
              <w:t>%</w:t>
            </w:r>
          </w:p>
          <w:p w14:paraId="5B377191" w14:textId="1DD74C8E" w:rsidR="00881D25" w:rsidRPr="00881D25" w:rsidRDefault="00881D25" w:rsidP="00881D25">
            <w:pPr>
              <w:jc w:val="center"/>
              <w:rPr>
                <w:rFonts w:eastAsia="Times New Roman"/>
                <w:color w:val="000000"/>
                <w:sz w:val="22"/>
                <w:szCs w:val="22"/>
              </w:rPr>
            </w:pPr>
            <w:r w:rsidRPr="00881D25">
              <w:rPr>
                <w:rFonts w:eastAsia="Times New Roman"/>
                <w:color w:val="000000"/>
                <w:sz w:val="22"/>
                <w:szCs w:val="22"/>
              </w:rPr>
              <w:t>(+7)</w:t>
            </w:r>
          </w:p>
        </w:tc>
        <w:tc>
          <w:tcPr>
            <w:tcW w:w="2610" w:type="dxa"/>
            <w:tcBorders>
              <w:top w:val="single" w:sz="4" w:space="0" w:color="auto"/>
              <w:left w:val="nil"/>
              <w:bottom w:val="single" w:sz="4" w:space="0" w:color="auto"/>
              <w:right w:val="nil"/>
            </w:tcBorders>
            <w:vAlign w:val="center"/>
            <w:hideMark/>
          </w:tcPr>
          <w:p w14:paraId="790CB930" w14:textId="00AFFF1D" w:rsidR="00031E4A" w:rsidRPr="00881D25" w:rsidRDefault="00031E4A" w:rsidP="005F3E75">
            <w:pPr>
              <w:jc w:val="center"/>
              <w:rPr>
                <w:rFonts w:eastAsia="Times New Roman"/>
                <w:color w:val="000000"/>
                <w:sz w:val="22"/>
                <w:szCs w:val="22"/>
              </w:rPr>
            </w:pPr>
            <w:r w:rsidRPr="00881D25">
              <w:rPr>
                <w:rFonts w:eastAsia="Times New Roman"/>
                <w:color w:val="000000"/>
                <w:sz w:val="22"/>
                <w:szCs w:val="22"/>
              </w:rPr>
              <w:t>$</w:t>
            </w:r>
            <w:r w:rsidR="005F3E75">
              <w:rPr>
                <w:rFonts w:eastAsia="Times New Roman"/>
                <w:color w:val="000000"/>
                <w:sz w:val="22"/>
                <w:szCs w:val="22"/>
              </w:rPr>
              <w:t>405,000</w:t>
            </w:r>
          </w:p>
        </w:tc>
        <w:tc>
          <w:tcPr>
            <w:tcW w:w="2610" w:type="dxa"/>
            <w:tcBorders>
              <w:top w:val="single" w:sz="4" w:space="0" w:color="auto"/>
              <w:left w:val="nil"/>
              <w:bottom w:val="single" w:sz="4" w:space="0" w:color="auto"/>
              <w:right w:val="nil"/>
            </w:tcBorders>
            <w:vAlign w:val="center"/>
          </w:tcPr>
          <w:p w14:paraId="78296DC1" w14:textId="683DAB7B" w:rsidR="00031E4A" w:rsidRPr="00881D25" w:rsidRDefault="008A5521" w:rsidP="00881D25">
            <w:pPr>
              <w:jc w:val="center"/>
              <w:rPr>
                <w:rFonts w:eastAsia="Times New Roman"/>
                <w:color w:val="000000"/>
                <w:sz w:val="22"/>
                <w:szCs w:val="22"/>
              </w:rPr>
            </w:pPr>
            <w:r w:rsidRPr="00881D25">
              <w:rPr>
                <w:rFonts w:eastAsia="Times New Roman"/>
                <w:color w:val="000000"/>
                <w:sz w:val="22"/>
                <w:szCs w:val="22"/>
              </w:rPr>
              <w:t>$333,000</w:t>
            </w:r>
          </w:p>
        </w:tc>
      </w:tr>
      <w:tr w:rsidR="00031E4A" w14:paraId="2F24CDE6" w14:textId="77777777" w:rsidTr="00881D25">
        <w:trPr>
          <w:trHeight w:val="420"/>
        </w:trPr>
        <w:tc>
          <w:tcPr>
            <w:tcW w:w="2459" w:type="dxa"/>
            <w:tcBorders>
              <w:top w:val="single" w:sz="4" w:space="0" w:color="auto"/>
              <w:left w:val="nil"/>
              <w:bottom w:val="single" w:sz="4" w:space="0" w:color="auto"/>
              <w:right w:val="nil"/>
            </w:tcBorders>
            <w:noWrap/>
            <w:vAlign w:val="center"/>
            <w:hideMark/>
          </w:tcPr>
          <w:p w14:paraId="73A04311" w14:textId="77777777" w:rsidR="00031E4A" w:rsidRPr="00881D25" w:rsidRDefault="00031E4A" w:rsidP="00881D25">
            <w:pPr>
              <w:jc w:val="center"/>
              <w:rPr>
                <w:rFonts w:eastAsia="Times New Roman"/>
                <w:color w:val="000000"/>
                <w:sz w:val="22"/>
                <w:szCs w:val="22"/>
              </w:rPr>
            </w:pPr>
            <w:r w:rsidRPr="00881D25">
              <w:rPr>
                <w:rFonts w:eastAsia="Times New Roman"/>
                <w:color w:val="000000"/>
                <w:sz w:val="22"/>
                <w:szCs w:val="22"/>
              </w:rPr>
              <w:t>Kootenai County</w:t>
            </w:r>
          </w:p>
        </w:tc>
        <w:tc>
          <w:tcPr>
            <w:tcW w:w="1771" w:type="dxa"/>
            <w:tcBorders>
              <w:top w:val="single" w:sz="4" w:space="0" w:color="auto"/>
              <w:left w:val="nil"/>
              <w:bottom w:val="single" w:sz="4" w:space="0" w:color="auto"/>
              <w:right w:val="nil"/>
            </w:tcBorders>
            <w:vAlign w:val="center"/>
            <w:hideMark/>
          </w:tcPr>
          <w:p w14:paraId="67A0AB71" w14:textId="77777777" w:rsidR="00031E4A" w:rsidRPr="00881D25" w:rsidRDefault="00881D25" w:rsidP="00881D25">
            <w:pPr>
              <w:jc w:val="center"/>
              <w:rPr>
                <w:rFonts w:eastAsia="Times New Roman"/>
                <w:color w:val="000000"/>
                <w:sz w:val="22"/>
                <w:szCs w:val="22"/>
              </w:rPr>
            </w:pPr>
            <w:r w:rsidRPr="00881D25">
              <w:rPr>
                <w:rFonts w:eastAsia="Times New Roman"/>
                <w:color w:val="000000"/>
                <w:sz w:val="22"/>
                <w:szCs w:val="22"/>
              </w:rPr>
              <w:t>1.3</w:t>
            </w:r>
            <w:r w:rsidR="00031E4A" w:rsidRPr="00881D25">
              <w:rPr>
                <w:rFonts w:eastAsia="Times New Roman"/>
                <w:color w:val="000000"/>
                <w:sz w:val="22"/>
                <w:szCs w:val="22"/>
              </w:rPr>
              <w:t>%</w:t>
            </w:r>
          </w:p>
          <w:p w14:paraId="6639D3B7" w14:textId="19DDEF4F" w:rsidR="00881D25" w:rsidRPr="00881D25" w:rsidRDefault="00881D25" w:rsidP="00881D25">
            <w:pPr>
              <w:jc w:val="center"/>
              <w:rPr>
                <w:rFonts w:eastAsia="Times New Roman"/>
                <w:color w:val="000000"/>
                <w:sz w:val="22"/>
                <w:szCs w:val="22"/>
              </w:rPr>
            </w:pPr>
            <w:r w:rsidRPr="00881D25">
              <w:rPr>
                <w:rFonts w:eastAsia="Times New Roman"/>
                <w:color w:val="000000"/>
                <w:sz w:val="22"/>
                <w:szCs w:val="22"/>
              </w:rPr>
              <w:t>(14)</w:t>
            </w:r>
          </w:p>
        </w:tc>
        <w:tc>
          <w:tcPr>
            <w:tcW w:w="2610" w:type="dxa"/>
            <w:tcBorders>
              <w:top w:val="single" w:sz="4" w:space="0" w:color="auto"/>
              <w:left w:val="nil"/>
              <w:bottom w:val="single" w:sz="4" w:space="0" w:color="auto"/>
              <w:right w:val="nil"/>
            </w:tcBorders>
            <w:vAlign w:val="center"/>
            <w:hideMark/>
          </w:tcPr>
          <w:p w14:paraId="537C0D17" w14:textId="635D9142" w:rsidR="00031E4A" w:rsidRPr="00881D25" w:rsidRDefault="00031E4A" w:rsidP="005F3E75">
            <w:pPr>
              <w:jc w:val="center"/>
              <w:rPr>
                <w:rFonts w:eastAsia="Times New Roman"/>
                <w:color w:val="000000"/>
                <w:sz w:val="22"/>
                <w:szCs w:val="22"/>
              </w:rPr>
            </w:pPr>
            <w:r w:rsidRPr="00881D25">
              <w:rPr>
                <w:rFonts w:eastAsia="Times New Roman"/>
                <w:color w:val="000000"/>
                <w:sz w:val="22"/>
                <w:szCs w:val="22"/>
              </w:rPr>
              <w:t>$3</w:t>
            </w:r>
            <w:r w:rsidR="005F3E75">
              <w:rPr>
                <w:rFonts w:eastAsia="Times New Roman"/>
                <w:color w:val="000000"/>
                <w:sz w:val="22"/>
                <w:szCs w:val="22"/>
              </w:rPr>
              <w:t>.5 million</w:t>
            </w:r>
          </w:p>
        </w:tc>
        <w:tc>
          <w:tcPr>
            <w:tcW w:w="2610" w:type="dxa"/>
            <w:tcBorders>
              <w:top w:val="single" w:sz="4" w:space="0" w:color="auto"/>
              <w:left w:val="nil"/>
              <w:bottom w:val="single" w:sz="4" w:space="0" w:color="auto"/>
              <w:right w:val="nil"/>
            </w:tcBorders>
            <w:vAlign w:val="center"/>
          </w:tcPr>
          <w:p w14:paraId="590EFDA0" w14:textId="11BDEFFD" w:rsidR="00031E4A" w:rsidRPr="00881D25" w:rsidRDefault="008A5521" w:rsidP="00881D25">
            <w:pPr>
              <w:jc w:val="center"/>
              <w:rPr>
                <w:rFonts w:eastAsia="Times New Roman"/>
                <w:color w:val="000000"/>
                <w:sz w:val="22"/>
                <w:szCs w:val="22"/>
              </w:rPr>
            </w:pPr>
            <w:r w:rsidRPr="00881D25">
              <w:rPr>
                <w:rFonts w:eastAsia="Times New Roman"/>
                <w:color w:val="000000"/>
                <w:sz w:val="22"/>
                <w:szCs w:val="22"/>
              </w:rPr>
              <w:t>$1.9 million</w:t>
            </w:r>
          </w:p>
        </w:tc>
      </w:tr>
      <w:tr w:rsidR="00031E4A" w14:paraId="0E4D5A88" w14:textId="77777777" w:rsidTr="00881D25">
        <w:trPr>
          <w:trHeight w:val="420"/>
        </w:trPr>
        <w:tc>
          <w:tcPr>
            <w:tcW w:w="2459" w:type="dxa"/>
            <w:tcBorders>
              <w:top w:val="single" w:sz="4" w:space="0" w:color="auto"/>
              <w:left w:val="nil"/>
              <w:bottom w:val="single" w:sz="4" w:space="0" w:color="auto"/>
              <w:right w:val="nil"/>
            </w:tcBorders>
            <w:noWrap/>
            <w:vAlign w:val="center"/>
            <w:hideMark/>
          </w:tcPr>
          <w:p w14:paraId="31FBC42D" w14:textId="77777777" w:rsidR="00031E4A" w:rsidRPr="00881D25" w:rsidRDefault="00031E4A" w:rsidP="00881D25">
            <w:pPr>
              <w:jc w:val="center"/>
              <w:rPr>
                <w:rFonts w:eastAsia="Times New Roman"/>
                <w:color w:val="000000"/>
                <w:sz w:val="22"/>
                <w:szCs w:val="22"/>
              </w:rPr>
            </w:pPr>
            <w:r w:rsidRPr="00881D25">
              <w:rPr>
                <w:rFonts w:eastAsia="Times New Roman"/>
                <w:color w:val="000000"/>
                <w:sz w:val="22"/>
                <w:szCs w:val="22"/>
              </w:rPr>
              <w:t>Latah County</w:t>
            </w:r>
          </w:p>
        </w:tc>
        <w:tc>
          <w:tcPr>
            <w:tcW w:w="1771" w:type="dxa"/>
            <w:tcBorders>
              <w:top w:val="single" w:sz="4" w:space="0" w:color="auto"/>
              <w:left w:val="nil"/>
              <w:bottom w:val="single" w:sz="4" w:space="0" w:color="auto"/>
              <w:right w:val="nil"/>
            </w:tcBorders>
            <w:vAlign w:val="center"/>
            <w:hideMark/>
          </w:tcPr>
          <w:p w14:paraId="72327AB2" w14:textId="77777777" w:rsidR="00031E4A" w:rsidRPr="00881D25" w:rsidRDefault="00031E4A" w:rsidP="00881D25">
            <w:pPr>
              <w:jc w:val="center"/>
              <w:rPr>
                <w:rFonts w:eastAsia="Times New Roman"/>
                <w:color w:val="000000"/>
                <w:sz w:val="22"/>
                <w:szCs w:val="22"/>
              </w:rPr>
            </w:pPr>
            <w:r w:rsidRPr="00881D25">
              <w:rPr>
                <w:rFonts w:eastAsia="Times New Roman"/>
                <w:color w:val="000000"/>
                <w:sz w:val="22"/>
                <w:szCs w:val="22"/>
              </w:rPr>
              <w:t>0.</w:t>
            </w:r>
            <w:r w:rsidR="00881D25" w:rsidRPr="00881D25">
              <w:rPr>
                <w:rFonts w:eastAsia="Times New Roman"/>
                <w:color w:val="000000"/>
                <w:sz w:val="22"/>
                <w:szCs w:val="22"/>
              </w:rPr>
              <w:t>8</w:t>
            </w:r>
            <w:r w:rsidRPr="00881D25">
              <w:rPr>
                <w:rFonts w:eastAsia="Times New Roman"/>
                <w:color w:val="000000"/>
                <w:sz w:val="22"/>
                <w:szCs w:val="22"/>
              </w:rPr>
              <w:t>%</w:t>
            </w:r>
          </w:p>
          <w:p w14:paraId="22A1C119" w14:textId="1599E611" w:rsidR="00881D25" w:rsidRPr="00881D25" w:rsidRDefault="00881D25" w:rsidP="00881D25">
            <w:pPr>
              <w:jc w:val="center"/>
              <w:rPr>
                <w:rFonts w:eastAsia="Times New Roman"/>
                <w:color w:val="000000"/>
                <w:sz w:val="22"/>
                <w:szCs w:val="22"/>
              </w:rPr>
            </w:pPr>
            <w:r w:rsidRPr="00881D25">
              <w:rPr>
                <w:rFonts w:eastAsia="Times New Roman"/>
                <w:color w:val="000000"/>
                <w:sz w:val="22"/>
                <w:szCs w:val="22"/>
              </w:rPr>
              <w:t>(3)</w:t>
            </w:r>
          </w:p>
        </w:tc>
        <w:tc>
          <w:tcPr>
            <w:tcW w:w="2610" w:type="dxa"/>
            <w:tcBorders>
              <w:top w:val="single" w:sz="4" w:space="0" w:color="auto"/>
              <w:left w:val="nil"/>
              <w:bottom w:val="single" w:sz="4" w:space="0" w:color="auto"/>
              <w:right w:val="nil"/>
            </w:tcBorders>
            <w:vAlign w:val="center"/>
            <w:hideMark/>
          </w:tcPr>
          <w:p w14:paraId="3279B240" w14:textId="1CC6A5A8" w:rsidR="00031E4A" w:rsidRPr="00881D25" w:rsidRDefault="00031E4A" w:rsidP="005F3E75">
            <w:pPr>
              <w:jc w:val="center"/>
              <w:rPr>
                <w:rFonts w:eastAsia="Times New Roman"/>
                <w:color w:val="000000"/>
                <w:sz w:val="22"/>
                <w:szCs w:val="22"/>
              </w:rPr>
            </w:pPr>
            <w:r w:rsidRPr="00881D25">
              <w:rPr>
                <w:rFonts w:eastAsia="Times New Roman"/>
                <w:color w:val="000000"/>
                <w:sz w:val="22"/>
                <w:szCs w:val="22"/>
              </w:rPr>
              <w:t>$1</w:t>
            </w:r>
            <w:r w:rsidR="005F3E75">
              <w:rPr>
                <w:rFonts w:eastAsia="Times New Roman"/>
                <w:color w:val="000000"/>
                <w:sz w:val="22"/>
                <w:szCs w:val="22"/>
              </w:rPr>
              <w:t xml:space="preserve"> million</w:t>
            </w:r>
          </w:p>
        </w:tc>
        <w:tc>
          <w:tcPr>
            <w:tcW w:w="2610" w:type="dxa"/>
            <w:tcBorders>
              <w:top w:val="single" w:sz="4" w:space="0" w:color="auto"/>
              <w:left w:val="nil"/>
              <w:bottom w:val="single" w:sz="4" w:space="0" w:color="auto"/>
              <w:right w:val="nil"/>
            </w:tcBorders>
            <w:vAlign w:val="center"/>
          </w:tcPr>
          <w:p w14:paraId="01B816BF" w14:textId="79F2C587" w:rsidR="00031E4A" w:rsidRPr="00881D25" w:rsidRDefault="008A5521" w:rsidP="00881D25">
            <w:pPr>
              <w:jc w:val="center"/>
              <w:rPr>
                <w:rFonts w:eastAsia="Times New Roman"/>
                <w:color w:val="000000"/>
                <w:sz w:val="22"/>
                <w:szCs w:val="22"/>
              </w:rPr>
            </w:pPr>
            <w:r w:rsidRPr="00881D25">
              <w:rPr>
                <w:rFonts w:eastAsia="Times New Roman"/>
                <w:color w:val="000000"/>
                <w:sz w:val="22"/>
                <w:szCs w:val="22"/>
              </w:rPr>
              <w:t>$777,000</w:t>
            </w:r>
          </w:p>
        </w:tc>
      </w:tr>
      <w:tr w:rsidR="00031E4A" w14:paraId="659402C8" w14:textId="77777777" w:rsidTr="00881D25">
        <w:trPr>
          <w:trHeight w:val="449"/>
        </w:trPr>
        <w:tc>
          <w:tcPr>
            <w:tcW w:w="2459" w:type="dxa"/>
            <w:tcBorders>
              <w:top w:val="single" w:sz="4" w:space="0" w:color="auto"/>
              <w:left w:val="nil"/>
              <w:bottom w:val="single" w:sz="4" w:space="0" w:color="auto"/>
              <w:right w:val="nil"/>
            </w:tcBorders>
            <w:noWrap/>
            <w:vAlign w:val="center"/>
            <w:hideMark/>
          </w:tcPr>
          <w:p w14:paraId="4896CF47" w14:textId="77777777" w:rsidR="00031E4A" w:rsidRPr="00881D25" w:rsidRDefault="00031E4A" w:rsidP="00881D25">
            <w:pPr>
              <w:jc w:val="center"/>
              <w:rPr>
                <w:rFonts w:eastAsia="Times New Roman"/>
                <w:color w:val="000000"/>
                <w:sz w:val="22"/>
                <w:szCs w:val="22"/>
              </w:rPr>
            </w:pPr>
            <w:r w:rsidRPr="00881D25">
              <w:rPr>
                <w:rFonts w:eastAsia="Times New Roman"/>
                <w:color w:val="000000"/>
                <w:sz w:val="22"/>
                <w:szCs w:val="22"/>
              </w:rPr>
              <w:t>Shoshone County</w:t>
            </w:r>
          </w:p>
        </w:tc>
        <w:tc>
          <w:tcPr>
            <w:tcW w:w="1771" w:type="dxa"/>
            <w:tcBorders>
              <w:top w:val="single" w:sz="4" w:space="0" w:color="auto"/>
              <w:left w:val="nil"/>
              <w:bottom w:val="single" w:sz="4" w:space="0" w:color="auto"/>
              <w:right w:val="nil"/>
            </w:tcBorders>
            <w:vAlign w:val="center"/>
            <w:hideMark/>
          </w:tcPr>
          <w:p w14:paraId="5C9AA64A" w14:textId="305E7110" w:rsidR="00881D25" w:rsidRPr="00881D25" w:rsidRDefault="00031E4A" w:rsidP="00881D25">
            <w:pPr>
              <w:jc w:val="center"/>
              <w:rPr>
                <w:rFonts w:eastAsia="Times New Roman"/>
                <w:color w:val="000000"/>
                <w:sz w:val="22"/>
                <w:szCs w:val="22"/>
              </w:rPr>
            </w:pPr>
            <w:r w:rsidRPr="00881D25">
              <w:rPr>
                <w:rFonts w:eastAsia="Times New Roman"/>
                <w:color w:val="000000"/>
                <w:sz w:val="22"/>
                <w:szCs w:val="22"/>
              </w:rPr>
              <w:t>0</w:t>
            </w:r>
          </w:p>
        </w:tc>
        <w:tc>
          <w:tcPr>
            <w:tcW w:w="2610" w:type="dxa"/>
            <w:tcBorders>
              <w:top w:val="single" w:sz="4" w:space="0" w:color="auto"/>
              <w:left w:val="nil"/>
              <w:bottom w:val="single" w:sz="4" w:space="0" w:color="auto"/>
              <w:right w:val="nil"/>
            </w:tcBorders>
            <w:vAlign w:val="center"/>
            <w:hideMark/>
          </w:tcPr>
          <w:p w14:paraId="33EA5A5F" w14:textId="462F6678" w:rsidR="00031E4A" w:rsidRPr="00881D25" w:rsidRDefault="00031E4A" w:rsidP="005F3E75">
            <w:pPr>
              <w:jc w:val="center"/>
              <w:rPr>
                <w:rFonts w:eastAsia="Times New Roman"/>
                <w:color w:val="000000"/>
                <w:sz w:val="22"/>
                <w:szCs w:val="22"/>
              </w:rPr>
            </w:pPr>
            <w:r w:rsidRPr="00881D25">
              <w:rPr>
                <w:rFonts w:eastAsia="Times New Roman"/>
                <w:color w:val="000000"/>
                <w:sz w:val="22"/>
                <w:szCs w:val="22"/>
              </w:rPr>
              <w:t>$21</w:t>
            </w:r>
            <w:r w:rsidR="005F3E75">
              <w:rPr>
                <w:rFonts w:eastAsia="Times New Roman"/>
                <w:color w:val="000000"/>
                <w:sz w:val="22"/>
                <w:szCs w:val="22"/>
              </w:rPr>
              <w:t>,000</w:t>
            </w:r>
          </w:p>
        </w:tc>
        <w:tc>
          <w:tcPr>
            <w:tcW w:w="2610" w:type="dxa"/>
            <w:tcBorders>
              <w:top w:val="single" w:sz="4" w:space="0" w:color="auto"/>
              <w:left w:val="nil"/>
              <w:bottom w:val="single" w:sz="4" w:space="0" w:color="auto"/>
              <w:right w:val="nil"/>
            </w:tcBorders>
            <w:vAlign w:val="center"/>
          </w:tcPr>
          <w:p w14:paraId="4099C128" w14:textId="5AADA1FF" w:rsidR="00031E4A" w:rsidRPr="00881D25" w:rsidRDefault="008A5521" w:rsidP="00881D25">
            <w:pPr>
              <w:jc w:val="center"/>
              <w:rPr>
                <w:rFonts w:eastAsia="Times New Roman"/>
                <w:color w:val="000000"/>
                <w:sz w:val="22"/>
                <w:szCs w:val="22"/>
              </w:rPr>
            </w:pPr>
            <w:r w:rsidRPr="00881D25">
              <w:rPr>
                <w:rFonts w:eastAsia="Times New Roman"/>
                <w:color w:val="000000"/>
                <w:sz w:val="22"/>
                <w:szCs w:val="22"/>
              </w:rPr>
              <w:t>$43,000</w:t>
            </w:r>
          </w:p>
        </w:tc>
      </w:tr>
      <w:tr w:rsidR="00031E4A" w14:paraId="149AAA36" w14:textId="77777777" w:rsidTr="00881D25">
        <w:trPr>
          <w:trHeight w:val="420"/>
        </w:trPr>
        <w:tc>
          <w:tcPr>
            <w:tcW w:w="2459" w:type="dxa"/>
            <w:tcBorders>
              <w:top w:val="single" w:sz="4" w:space="0" w:color="auto"/>
              <w:left w:val="nil"/>
              <w:bottom w:val="single" w:sz="4" w:space="0" w:color="auto"/>
              <w:right w:val="nil"/>
            </w:tcBorders>
            <w:noWrap/>
            <w:vAlign w:val="center"/>
            <w:hideMark/>
          </w:tcPr>
          <w:p w14:paraId="7A3B9808" w14:textId="77777777" w:rsidR="00031E4A" w:rsidRPr="00881D25" w:rsidRDefault="00031E4A" w:rsidP="00881D25">
            <w:pPr>
              <w:jc w:val="center"/>
              <w:rPr>
                <w:rFonts w:eastAsia="Times New Roman"/>
                <w:color w:val="000000"/>
                <w:sz w:val="22"/>
                <w:szCs w:val="22"/>
              </w:rPr>
            </w:pPr>
            <w:r w:rsidRPr="00881D25">
              <w:rPr>
                <w:rFonts w:eastAsia="Times New Roman"/>
                <w:color w:val="000000"/>
                <w:sz w:val="22"/>
                <w:szCs w:val="22"/>
              </w:rPr>
              <w:t>Benewah County</w:t>
            </w:r>
          </w:p>
        </w:tc>
        <w:tc>
          <w:tcPr>
            <w:tcW w:w="1771" w:type="dxa"/>
            <w:tcBorders>
              <w:top w:val="single" w:sz="4" w:space="0" w:color="auto"/>
              <w:left w:val="nil"/>
              <w:bottom w:val="single" w:sz="4" w:space="0" w:color="auto"/>
              <w:right w:val="nil"/>
            </w:tcBorders>
            <w:vAlign w:val="center"/>
            <w:hideMark/>
          </w:tcPr>
          <w:p w14:paraId="5B4461E4" w14:textId="32244995" w:rsidR="00031E4A" w:rsidRPr="00881D25" w:rsidRDefault="00881D25" w:rsidP="00881D25">
            <w:pPr>
              <w:jc w:val="center"/>
              <w:rPr>
                <w:rFonts w:eastAsia="Times New Roman"/>
                <w:color w:val="000000"/>
                <w:sz w:val="22"/>
                <w:szCs w:val="22"/>
              </w:rPr>
            </w:pPr>
            <w:r w:rsidRPr="00881D25">
              <w:rPr>
                <w:rFonts w:eastAsia="Times New Roman"/>
                <w:color w:val="000000"/>
                <w:sz w:val="22"/>
                <w:szCs w:val="22"/>
              </w:rPr>
              <w:t>0</w:t>
            </w:r>
          </w:p>
        </w:tc>
        <w:tc>
          <w:tcPr>
            <w:tcW w:w="2610" w:type="dxa"/>
            <w:tcBorders>
              <w:top w:val="single" w:sz="4" w:space="0" w:color="auto"/>
              <w:left w:val="nil"/>
              <w:bottom w:val="single" w:sz="4" w:space="0" w:color="auto"/>
              <w:right w:val="nil"/>
            </w:tcBorders>
            <w:vAlign w:val="center"/>
            <w:hideMark/>
          </w:tcPr>
          <w:p w14:paraId="696C52C0" w14:textId="3C516C8C" w:rsidR="00031E4A" w:rsidRPr="00881D25" w:rsidRDefault="00031E4A" w:rsidP="005F3E75">
            <w:pPr>
              <w:jc w:val="center"/>
              <w:rPr>
                <w:rFonts w:eastAsia="Times New Roman"/>
                <w:color w:val="000000"/>
                <w:sz w:val="22"/>
                <w:szCs w:val="22"/>
              </w:rPr>
            </w:pPr>
            <w:r w:rsidRPr="00881D25">
              <w:rPr>
                <w:rFonts w:eastAsia="Times New Roman"/>
                <w:color w:val="000000"/>
                <w:sz w:val="22"/>
                <w:szCs w:val="22"/>
              </w:rPr>
              <w:t>$17,</w:t>
            </w:r>
            <w:r w:rsidR="005F3E75">
              <w:rPr>
                <w:rFonts w:eastAsia="Times New Roman"/>
                <w:color w:val="000000"/>
                <w:sz w:val="22"/>
                <w:szCs w:val="22"/>
              </w:rPr>
              <w:t>000</w:t>
            </w:r>
          </w:p>
        </w:tc>
        <w:tc>
          <w:tcPr>
            <w:tcW w:w="2610" w:type="dxa"/>
            <w:tcBorders>
              <w:top w:val="single" w:sz="4" w:space="0" w:color="auto"/>
              <w:left w:val="nil"/>
              <w:bottom w:val="single" w:sz="4" w:space="0" w:color="auto"/>
              <w:right w:val="nil"/>
            </w:tcBorders>
            <w:vAlign w:val="center"/>
          </w:tcPr>
          <w:p w14:paraId="7BAF714E" w14:textId="12089553" w:rsidR="00031E4A" w:rsidRPr="00881D25" w:rsidRDefault="008A5521" w:rsidP="00881D25">
            <w:pPr>
              <w:jc w:val="center"/>
              <w:rPr>
                <w:rFonts w:eastAsia="Times New Roman"/>
                <w:color w:val="000000"/>
                <w:sz w:val="22"/>
                <w:szCs w:val="22"/>
              </w:rPr>
            </w:pPr>
            <w:r w:rsidRPr="00881D25">
              <w:rPr>
                <w:rFonts w:eastAsia="Times New Roman"/>
                <w:color w:val="000000"/>
                <w:sz w:val="22"/>
                <w:szCs w:val="22"/>
              </w:rPr>
              <w:t>$20,000</w:t>
            </w:r>
          </w:p>
        </w:tc>
      </w:tr>
      <w:tr w:rsidR="00031E4A" w14:paraId="012C2F6C" w14:textId="77777777" w:rsidTr="00881D25">
        <w:trPr>
          <w:trHeight w:val="420"/>
        </w:trPr>
        <w:tc>
          <w:tcPr>
            <w:tcW w:w="2459" w:type="dxa"/>
            <w:tcBorders>
              <w:top w:val="single" w:sz="4" w:space="0" w:color="auto"/>
              <w:left w:val="nil"/>
              <w:bottom w:val="single" w:sz="4" w:space="0" w:color="auto"/>
              <w:right w:val="nil"/>
            </w:tcBorders>
            <w:noWrap/>
            <w:vAlign w:val="center"/>
            <w:hideMark/>
          </w:tcPr>
          <w:p w14:paraId="0C808A40" w14:textId="77777777" w:rsidR="00031E4A" w:rsidRPr="00881D25" w:rsidRDefault="00031E4A" w:rsidP="00881D25">
            <w:pPr>
              <w:jc w:val="center"/>
              <w:rPr>
                <w:rFonts w:eastAsia="Times New Roman"/>
                <w:color w:val="000000"/>
                <w:sz w:val="22"/>
                <w:szCs w:val="22"/>
              </w:rPr>
            </w:pPr>
            <w:r w:rsidRPr="00881D25">
              <w:rPr>
                <w:rFonts w:eastAsia="Times New Roman"/>
                <w:color w:val="000000"/>
                <w:sz w:val="22"/>
                <w:szCs w:val="22"/>
              </w:rPr>
              <w:t>Lewis County</w:t>
            </w:r>
          </w:p>
        </w:tc>
        <w:tc>
          <w:tcPr>
            <w:tcW w:w="1771" w:type="dxa"/>
            <w:tcBorders>
              <w:top w:val="single" w:sz="4" w:space="0" w:color="auto"/>
              <w:left w:val="nil"/>
              <w:bottom w:val="single" w:sz="4" w:space="0" w:color="auto"/>
              <w:right w:val="nil"/>
            </w:tcBorders>
            <w:vAlign w:val="center"/>
            <w:hideMark/>
          </w:tcPr>
          <w:p w14:paraId="3A44684E" w14:textId="4B3E117A" w:rsidR="00031E4A" w:rsidRPr="00881D25" w:rsidRDefault="00881D25" w:rsidP="00881D25">
            <w:pPr>
              <w:jc w:val="center"/>
              <w:rPr>
                <w:rFonts w:eastAsia="Times New Roman"/>
                <w:color w:val="000000"/>
                <w:sz w:val="22"/>
                <w:szCs w:val="22"/>
              </w:rPr>
            </w:pPr>
            <w:r w:rsidRPr="00881D25">
              <w:rPr>
                <w:rFonts w:eastAsia="Times New Roman"/>
                <w:color w:val="000000"/>
                <w:sz w:val="22"/>
                <w:szCs w:val="22"/>
              </w:rPr>
              <w:t>0</w:t>
            </w:r>
          </w:p>
        </w:tc>
        <w:tc>
          <w:tcPr>
            <w:tcW w:w="2610" w:type="dxa"/>
            <w:tcBorders>
              <w:top w:val="single" w:sz="4" w:space="0" w:color="auto"/>
              <w:left w:val="nil"/>
              <w:bottom w:val="single" w:sz="4" w:space="0" w:color="auto"/>
              <w:right w:val="nil"/>
            </w:tcBorders>
            <w:vAlign w:val="center"/>
            <w:hideMark/>
          </w:tcPr>
          <w:p w14:paraId="6D6254DF" w14:textId="0A2BA257" w:rsidR="00031E4A" w:rsidRPr="00881D25" w:rsidRDefault="00031E4A" w:rsidP="005F3E75">
            <w:pPr>
              <w:jc w:val="center"/>
              <w:rPr>
                <w:rFonts w:eastAsia="Times New Roman"/>
                <w:color w:val="000000"/>
                <w:sz w:val="22"/>
                <w:szCs w:val="22"/>
              </w:rPr>
            </w:pPr>
            <w:r w:rsidRPr="00881D25">
              <w:rPr>
                <w:rFonts w:eastAsia="Times New Roman"/>
                <w:color w:val="DD0806"/>
                <w:sz w:val="22"/>
                <w:szCs w:val="22"/>
              </w:rPr>
              <w:t>($2,</w:t>
            </w:r>
            <w:r w:rsidR="005F3E75">
              <w:rPr>
                <w:rFonts w:eastAsia="Times New Roman"/>
                <w:color w:val="DD0806"/>
                <w:sz w:val="22"/>
                <w:szCs w:val="22"/>
              </w:rPr>
              <w:t>600</w:t>
            </w:r>
            <w:r w:rsidRPr="00881D25">
              <w:rPr>
                <w:rFonts w:eastAsia="Times New Roman"/>
                <w:color w:val="DD0806"/>
                <w:sz w:val="22"/>
                <w:szCs w:val="22"/>
              </w:rPr>
              <w:t>)</w:t>
            </w:r>
          </w:p>
        </w:tc>
        <w:tc>
          <w:tcPr>
            <w:tcW w:w="2610" w:type="dxa"/>
            <w:tcBorders>
              <w:top w:val="single" w:sz="4" w:space="0" w:color="auto"/>
              <w:left w:val="nil"/>
              <w:bottom w:val="single" w:sz="4" w:space="0" w:color="auto"/>
              <w:right w:val="nil"/>
            </w:tcBorders>
            <w:vAlign w:val="center"/>
          </w:tcPr>
          <w:p w14:paraId="705ED55C" w14:textId="57C3AB55" w:rsidR="00031E4A" w:rsidRPr="00881D25" w:rsidRDefault="008A5521" w:rsidP="00881D25">
            <w:pPr>
              <w:jc w:val="center"/>
              <w:rPr>
                <w:rFonts w:eastAsia="Times New Roman"/>
                <w:color w:val="DD0806"/>
                <w:sz w:val="22"/>
                <w:szCs w:val="22"/>
              </w:rPr>
            </w:pPr>
            <w:r w:rsidRPr="009146BA">
              <w:rPr>
                <w:rFonts w:eastAsia="Times New Roman"/>
                <w:color w:val="000000" w:themeColor="text1"/>
                <w:sz w:val="22"/>
                <w:szCs w:val="22"/>
              </w:rPr>
              <w:t>$13,000</w:t>
            </w:r>
          </w:p>
        </w:tc>
      </w:tr>
      <w:tr w:rsidR="00031E4A" w14:paraId="3AB86AAA" w14:textId="77777777" w:rsidTr="00881D25">
        <w:trPr>
          <w:trHeight w:val="420"/>
        </w:trPr>
        <w:tc>
          <w:tcPr>
            <w:tcW w:w="2459" w:type="dxa"/>
            <w:tcBorders>
              <w:top w:val="single" w:sz="4" w:space="0" w:color="auto"/>
              <w:left w:val="nil"/>
              <w:bottom w:val="single" w:sz="4" w:space="0" w:color="auto"/>
              <w:right w:val="nil"/>
            </w:tcBorders>
            <w:noWrap/>
            <w:vAlign w:val="center"/>
            <w:hideMark/>
          </w:tcPr>
          <w:p w14:paraId="17240599" w14:textId="77777777" w:rsidR="00031E4A" w:rsidRPr="00881D25" w:rsidRDefault="00031E4A" w:rsidP="00881D25">
            <w:pPr>
              <w:jc w:val="center"/>
              <w:rPr>
                <w:rFonts w:eastAsia="Times New Roman"/>
                <w:color w:val="000000"/>
                <w:sz w:val="22"/>
                <w:szCs w:val="22"/>
              </w:rPr>
            </w:pPr>
            <w:r w:rsidRPr="00881D25">
              <w:rPr>
                <w:rFonts w:eastAsia="Times New Roman"/>
                <w:color w:val="000000"/>
                <w:sz w:val="22"/>
                <w:szCs w:val="22"/>
              </w:rPr>
              <w:t>Clearwater County</w:t>
            </w:r>
          </w:p>
        </w:tc>
        <w:tc>
          <w:tcPr>
            <w:tcW w:w="1771" w:type="dxa"/>
            <w:tcBorders>
              <w:top w:val="single" w:sz="4" w:space="0" w:color="auto"/>
              <w:left w:val="nil"/>
              <w:bottom w:val="single" w:sz="4" w:space="0" w:color="auto"/>
              <w:right w:val="nil"/>
            </w:tcBorders>
            <w:vAlign w:val="center"/>
            <w:hideMark/>
          </w:tcPr>
          <w:p w14:paraId="27315A8D" w14:textId="77777777" w:rsidR="00031E4A" w:rsidRPr="00881D25" w:rsidRDefault="00031E4A" w:rsidP="00881D25">
            <w:pPr>
              <w:jc w:val="center"/>
              <w:rPr>
                <w:rFonts w:eastAsia="Times New Roman"/>
                <w:color w:val="C00000"/>
                <w:sz w:val="22"/>
                <w:szCs w:val="22"/>
              </w:rPr>
            </w:pPr>
            <w:r w:rsidRPr="00881D25">
              <w:rPr>
                <w:rFonts w:eastAsia="Times New Roman"/>
                <w:color w:val="C00000"/>
                <w:sz w:val="22"/>
                <w:szCs w:val="22"/>
              </w:rPr>
              <w:t>-2.9%</w:t>
            </w:r>
          </w:p>
          <w:p w14:paraId="5BF77D5F" w14:textId="2B6B95E9" w:rsidR="00881D25" w:rsidRPr="00881D25" w:rsidRDefault="00881D25" w:rsidP="00881D25">
            <w:pPr>
              <w:jc w:val="center"/>
              <w:rPr>
                <w:rFonts w:eastAsia="Times New Roman"/>
                <w:color w:val="C00000"/>
                <w:sz w:val="22"/>
                <w:szCs w:val="22"/>
              </w:rPr>
            </w:pPr>
            <w:r w:rsidRPr="00881D25">
              <w:rPr>
                <w:rFonts w:eastAsia="Times New Roman"/>
                <w:color w:val="C00000"/>
                <w:sz w:val="22"/>
                <w:szCs w:val="22"/>
              </w:rPr>
              <w:t>(-1)</w:t>
            </w:r>
          </w:p>
        </w:tc>
        <w:tc>
          <w:tcPr>
            <w:tcW w:w="2610" w:type="dxa"/>
            <w:tcBorders>
              <w:top w:val="single" w:sz="4" w:space="0" w:color="auto"/>
              <w:left w:val="nil"/>
              <w:bottom w:val="single" w:sz="4" w:space="0" w:color="auto"/>
              <w:right w:val="nil"/>
            </w:tcBorders>
            <w:vAlign w:val="center"/>
            <w:hideMark/>
          </w:tcPr>
          <w:p w14:paraId="40919318" w14:textId="54CCE3E3" w:rsidR="00031E4A" w:rsidRPr="00881D25" w:rsidRDefault="00031E4A" w:rsidP="005F3E75">
            <w:pPr>
              <w:jc w:val="center"/>
              <w:rPr>
                <w:rFonts w:eastAsia="Times New Roman"/>
                <w:color w:val="000000"/>
                <w:sz w:val="22"/>
                <w:szCs w:val="22"/>
              </w:rPr>
            </w:pPr>
            <w:r w:rsidRPr="00881D25">
              <w:rPr>
                <w:rFonts w:eastAsia="Times New Roman"/>
                <w:color w:val="000000"/>
                <w:sz w:val="22"/>
                <w:szCs w:val="22"/>
              </w:rPr>
              <w:t>$134,</w:t>
            </w:r>
            <w:r w:rsidR="005F3E75">
              <w:rPr>
                <w:rFonts w:eastAsia="Times New Roman"/>
                <w:color w:val="000000"/>
                <w:sz w:val="22"/>
                <w:szCs w:val="22"/>
              </w:rPr>
              <w:t>000</w:t>
            </w:r>
          </w:p>
        </w:tc>
        <w:tc>
          <w:tcPr>
            <w:tcW w:w="2610" w:type="dxa"/>
            <w:tcBorders>
              <w:top w:val="single" w:sz="4" w:space="0" w:color="auto"/>
              <w:left w:val="nil"/>
              <w:bottom w:val="single" w:sz="4" w:space="0" w:color="auto"/>
              <w:right w:val="nil"/>
            </w:tcBorders>
            <w:vAlign w:val="center"/>
          </w:tcPr>
          <w:p w14:paraId="2BC4DF54" w14:textId="34419260" w:rsidR="00031E4A" w:rsidRPr="00881D25" w:rsidRDefault="008A5521" w:rsidP="00881D25">
            <w:pPr>
              <w:jc w:val="center"/>
              <w:rPr>
                <w:rFonts w:eastAsia="Times New Roman"/>
                <w:color w:val="000000"/>
                <w:sz w:val="22"/>
                <w:szCs w:val="22"/>
              </w:rPr>
            </w:pPr>
            <w:r w:rsidRPr="00881D25">
              <w:rPr>
                <w:rFonts w:eastAsia="Times New Roman"/>
                <w:color w:val="000000"/>
                <w:sz w:val="22"/>
                <w:szCs w:val="22"/>
              </w:rPr>
              <w:t>$20,000</w:t>
            </w:r>
          </w:p>
        </w:tc>
      </w:tr>
      <w:tr w:rsidR="00031E4A" w14:paraId="6359432D" w14:textId="77777777" w:rsidTr="00881D25">
        <w:trPr>
          <w:trHeight w:val="387"/>
        </w:trPr>
        <w:tc>
          <w:tcPr>
            <w:tcW w:w="2459" w:type="dxa"/>
            <w:tcBorders>
              <w:top w:val="single" w:sz="4" w:space="0" w:color="auto"/>
              <w:left w:val="nil"/>
              <w:bottom w:val="single" w:sz="4" w:space="0" w:color="auto"/>
              <w:right w:val="nil"/>
            </w:tcBorders>
            <w:noWrap/>
            <w:vAlign w:val="center"/>
            <w:hideMark/>
          </w:tcPr>
          <w:p w14:paraId="4FE0CABB" w14:textId="77777777" w:rsidR="00031E4A" w:rsidRPr="00881D25" w:rsidRDefault="00031E4A" w:rsidP="00881D25">
            <w:pPr>
              <w:jc w:val="center"/>
              <w:rPr>
                <w:rFonts w:eastAsia="Times New Roman"/>
                <w:color w:val="000000"/>
                <w:sz w:val="22"/>
                <w:szCs w:val="22"/>
              </w:rPr>
            </w:pPr>
            <w:r w:rsidRPr="00881D25">
              <w:rPr>
                <w:rFonts w:eastAsia="Times New Roman"/>
                <w:color w:val="000000"/>
                <w:sz w:val="22"/>
                <w:szCs w:val="22"/>
              </w:rPr>
              <w:t>Boundary County</w:t>
            </w:r>
          </w:p>
        </w:tc>
        <w:tc>
          <w:tcPr>
            <w:tcW w:w="1771" w:type="dxa"/>
            <w:tcBorders>
              <w:top w:val="single" w:sz="4" w:space="0" w:color="auto"/>
              <w:left w:val="nil"/>
              <w:bottom w:val="single" w:sz="4" w:space="0" w:color="auto"/>
              <w:right w:val="nil"/>
            </w:tcBorders>
            <w:vAlign w:val="center"/>
            <w:hideMark/>
          </w:tcPr>
          <w:p w14:paraId="5962D872" w14:textId="77777777" w:rsidR="00031E4A" w:rsidRPr="00881D25" w:rsidRDefault="00031E4A" w:rsidP="00881D25">
            <w:pPr>
              <w:jc w:val="center"/>
              <w:rPr>
                <w:rFonts w:eastAsia="Times New Roman"/>
                <w:color w:val="C00000"/>
                <w:sz w:val="22"/>
                <w:szCs w:val="22"/>
              </w:rPr>
            </w:pPr>
            <w:r w:rsidRPr="00881D25">
              <w:rPr>
                <w:rFonts w:eastAsia="Times New Roman"/>
                <w:color w:val="C00000"/>
                <w:sz w:val="22"/>
                <w:szCs w:val="22"/>
              </w:rPr>
              <w:t>-3.</w:t>
            </w:r>
            <w:r w:rsidR="00881D25" w:rsidRPr="00881D25">
              <w:rPr>
                <w:rFonts w:eastAsia="Times New Roman"/>
                <w:color w:val="C00000"/>
                <w:sz w:val="22"/>
                <w:szCs w:val="22"/>
              </w:rPr>
              <w:t>5</w:t>
            </w:r>
            <w:r w:rsidRPr="00881D25">
              <w:rPr>
                <w:rFonts w:eastAsia="Times New Roman"/>
                <w:color w:val="C00000"/>
                <w:sz w:val="22"/>
                <w:szCs w:val="22"/>
              </w:rPr>
              <w:t>%</w:t>
            </w:r>
          </w:p>
          <w:p w14:paraId="7DCE5301" w14:textId="40166E39" w:rsidR="00881D25" w:rsidRPr="00881D25" w:rsidRDefault="00881D25" w:rsidP="00881D25">
            <w:pPr>
              <w:jc w:val="center"/>
              <w:rPr>
                <w:rFonts w:eastAsia="Times New Roman"/>
                <w:color w:val="C00000"/>
                <w:sz w:val="22"/>
                <w:szCs w:val="22"/>
              </w:rPr>
            </w:pPr>
            <w:r w:rsidRPr="00881D25">
              <w:rPr>
                <w:rFonts w:eastAsia="Times New Roman"/>
                <w:color w:val="C00000"/>
                <w:sz w:val="22"/>
                <w:szCs w:val="22"/>
              </w:rPr>
              <w:t>(-1)</w:t>
            </w:r>
          </w:p>
        </w:tc>
        <w:tc>
          <w:tcPr>
            <w:tcW w:w="2610" w:type="dxa"/>
            <w:tcBorders>
              <w:top w:val="single" w:sz="4" w:space="0" w:color="auto"/>
              <w:left w:val="nil"/>
              <w:bottom w:val="single" w:sz="4" w:space="0" w:color="auto"/>
              <w:right w:val="nil"/>
            </w:tcBorders>
            <w:vAlign w:val="center"/>
            <w:hideMark/>
          </w:tcPr>
          <w:p w14:paraId="6F533CDB" w14:textId="4C75AFA9" w:rsidR="00031E4A" w:rsidRPr="00881D25" w:rsidRDefault="00031E4A" w:rsidP="005F3E75">
            <w:pPr>
              <w:jc w:val="center"/>
              <w:rPr>
                <w:rFonts w:eastAsia="Times New Roman"/>
                <w:color w:val="000000"/>
                <w:sz w:val="22"/>
                <w:szCs w:val="22"/>
              </w:rPr>
            </w:pPr>
            <w:r w:rsidRPr="00881D25">
              <w:rPr>
                <w:rFonts w:eastAsia="Times New Roman"/>
                <w:color w:val="000000"/>
                <w:sz w:val="22"/>
                <w:szCs w:val="22"/>
              </w:rPr>
              <w:t>$15</w:t>
            </w:r>
            <w:r w:rsidR="005F3E75">
              <w:rPr>
                <w:rFonts w:eastAsia="Times New Roman"/>
                <w:color w:val="000000"/>
                <w:sz w:val="22"/>
                <w:szCs w:val="22"/>
              </w:rPr>
              <w:t>3,000</w:t>
            </w:r>
          </w:p>
        </w:tc>
        <w:tc>
          <w:tcPr>
            <w:tcW w:w="2610" w:type="dxa"/>
            <w:tcBorders>
              <w:top w:val="single" w:sz="4" w:space="0" w:color="auto"/>
              <w:left w:val="nil"/>
              <w:bottom w:val="single" w:sz="4" w:space="0" w:color="auto"/>
              <w:right w:val="nil"/>
            </w:tcBorders>
            <w:vAlign w:val="center"/>
          </w:tcPr>
          <w:p w14:paraId="6752822F" w14:textId="5DBEE634" w:rsidR="00031E4A" w:rsidRPr="00881D25" w:rsidRDefault="008A5521" w:rsidP="00881D25">
            <w:pPr>
              <w:jc w:val="center"/>
              <w:rPr>
                <w:rFonts w:eastAsia="Times New Roman"/>
                <w:color w:val="000000"/>
                <w:sz w:val="22"/>
                <w:szCs w:val="22"/>
              </w:rPr>
            </w:pPr>
            <w:r w:rsidRPr="00881D25">
              <w:rPr>
                <w:rFonts w:eastAsia="Times New Roman"/>
                <w:color w:val="000000"/>
                <w:sz w:val="22"/>
                <w:szCs w:val="22"/>
              </w:rPr>
              <w:t>$31,000</w:t>
            </w:r>
          </w:p>
        </w:tc>
      </w:tr>
      <w:tr w:rsidR="00031E4A" w14:paraId="063A5440" w14:textId="77777777" w:rsidTr="00881D25">
        <w:trPr>
          <w:trHeight w:val="387"/>
        </w:trPr>
        <w:tc>
          <w:tcPr>
            <w:tcW w:w="2459" w:type="dxa"/>
            <w:tcBorders>
              <w:top w:val="single" w:sz="4" w:space="0" w:color="auto"/>
              <w:left w:val="nil"/>
              <w:bottom w:val="nil"/>
              <w:right w:val="nil"/>
            </w:tcBorders>
            <w:noWrap/>
            <w:vAlign w:val="center"/>
            <w:hideMark/>
          </w:tcPr>
          <w:p w14:paraId="72730A15" w14:textId="77777777" w:rsidR="00031E4A" w:rsidRPr="00881D25" w:rsidRDefault="00031E4A" w:rsidP="00881D25">
            <w:pPr>
              <w:jc w:val="center"/>
              <w:rPr>
                <w:rFonts w:eastAsia="Times New Roman"/>
                <w:b/>
                <w:color w:val="000000"/>
                <w:sz w:val="22"/>
                <w:szCs w:val="22"/>
              </w:rPr>
            </w:pPr>
            <w:r w:rsidRPr="00881D25">
              <w:rPr>
                <w:rFonts w:eastAsia="Times New Roman"/>
                <w:b/>
                <w:color w:val="000000"/>
                <w:sz w:val="22"/>
                <w:szCs w:val="22"/>
              </w:rPr>
              <w:t>North Idaho Region</w:t>
            </w:r>
          </w:p>
        </w:tc>
        <w:tc>
          <w:tcPr>
            <w:tcW w:w="1771" w:type="dxa"/>
            <w:tcBorders>
              <w:top w:val="single" w:sz="4" w:space="0" w:color="auto"/>
              <w:left w:val="nil"/>
              <w:bottom w:val="nil"/>
              <w:right w:val="nil"/>
            </w:tcBorders>
            <w:vAlign w:val="center"/>
            <w:hideMark/>
          </w:tcPr>
          <w:p w14:paraId="378F4E42" w14:textId="77777777" w:rsidR="00031E4A" w:rsidRPr="00881D25" w:rsidRDefault="00031E4A" w:rsidP="00881D25">
            <w:pPr>
              <w:jc w:val="center"/>
              <w:rPr>
                <w:rFonts w:eastAsia="Times New Roman"/>
                <w:b/>
                <w:color w:val="000000"/>
                <w:sz w:val="22"/>
                <w:szCs w:val="22"/>
              </w:rPr>
            </w:pPr>
            <w:r w:rsidRPr="00881D25">
              <w:rPr>
                <w:rFonts w:eastAsia="Times New Roman"/>
                <w:b/>
                <w:color w:val="000000"/>
                <w:sz w:val="22"/>
                <w:szCs w:val="22"/>
              </w:rPr>
              <w:t>+</w:t>
            </w:r>
            <w:r w:rsidR="00701CFD" w:rsidRPr="00881D25">
              <w:rPr>
                <w:rFonts w:eastAsia="Times New Roman"/>
                <w:b/>
                <w:color w:val="000000"/>
                <w:sz w:val="22"/>
                <w:szCs w:val="22"/>
              </w:rPr>
              <w:t>1.</w:t>
            </w:r>
            <w:r w:rsidR="00881D25" w:rsidRPr="00881D25">
              <w:rPr>
                <w:rFonts w:eastAsia="Times New Roman"/>
                <w:b/>
                <w:color w:val="000000"/>
                <w:sz w:val="22"/>
                <w:szCs w:val="22"/>
              </w:rPr>
              <w:t>8</w:t>
            </w:r>
            <w:r w:rsidRPr="00881D25">
              <w:rPr>
                <w:rFonts w:eastAsia="Times New Roman"/>
                <w:b/>
                <w:color w:val="000000"/>
                <w:sz w:val="22"/>
                <w:szCs w:val="22"/>
              </w:rPr>
              <w:t>%</w:t>
            </w:r>
          </w:p>
          <w:p w14:paraId="4256C7AE" w14:textId="0FBA13BE" w:rsidR="00881D25" w:rsidRPr="00881D25" w:rsidRDefault="00881D25" w:rsidP="00881D25">
            <w:pPr>
              <w:jc w:val="center"/>
              <w:rPr>
                <w:rFonts w:eastAsia="Times New Roman"/>
                <w:b/>
                <w:color w:val="000000"/>
                <w:sz w:val="22"/>
                <w:szCs w:val="22"/>
              </w:rPr>
            </w:pPr>
            <w:r w:rsidRPr="00881D25">
              <w:rPr>
                <w:rFonts w:eastAsia="Times New Roman"/>
                <w:b/>
                <w:color w:val="000000"/>
                <w:sz w:val="22"/>
                <w:szCs w:val="22"/>
              </w:rPr>
              <w:t>(36)</w:t>
            </w:r>
          </w:p>
        </w:tc>
        <w:tc>
          <w:tcPr>
            <w:tcW w:w="2610" w:type="dxa"/>
            <w:tcBorders>
              <w:top w:val="single" w:sz="4" w:space="0" w:color="auto"/>
              <w:left w:val="nil"/>
              <w:bottom w:val="nil"/>
              <w:right w:val="nil"/>
            </w:tcBorders>
            <w:vAlign w:val="center"/>
            <w:hideMark/>
          </w:tcPr>
          <w:p w14:paraId="16374863" w14:textId="77777777" w:rsidR="00031E4A" w:rsidRPr="00881D25" w:rsidRDefault="00031E4A" w:rsidP="00881D25">
            <w:pPr>
              <w:jc w:val="center"/>
              <w:rPr>
                <w:rFonts w:eastAsia="Times New Roman"/>
                <w:b/>
                <w:color w:val="000000"/>
                <w:sz w:val="22"/>
                <w:szCs w:val="22"/>
              </w:rPr>
            </w:pPr>
            <w:r w:rsidRPr="00881D25">
              <w:rPr>
                <w:rFonts w:eastAsia="Times New Roman"/>
                <w:b/>
                <w:color w:val="000000"/>
                <w:sz w:val="22"/>
                <w:szCs w:val="22"/>
              </w:rPr>
              <w:t>+$5.8 million</w:t>
            </w:r>
          </w:p>
        </w:tc>
        <w:tc>
          <w:tcPr>
            <w:tcW w:w="2610" w:type="dxa"/>
            <w:tcBorders>
              <w:top w:val="single" w:sz="4" w:space="0" w:color="auto"/>
              <w:left w:val="nil"/>
              <w:bottom w:val="nil"/>
              <w:right w:val="nil"/>
            </w:tcBorders>
            <w:vAlign w:val="center"/>
          </w:tcPr>
          <w:p w14:paraId="61E0C033" w14:textId="26F5FE81" w:rsidR="00031E4A" w:rsidRPr="00881D25" w:rsidRDefault="008A5521" w:rsidP="00881D25">
            <w:pPr>
              <w:jc w:val="center"/>
              <w:rPr>
                <w:rFonts w:eastAsia="Times New Roman"/>
                <w:b/>
                <w:color w:val="000000"/>
                <w:sz w:val="22"/>
                <w:szCs w:val="22"/>
              </w:rPr>
            </w:pPr>
            <w:r w:rsidRPr="00881D25">
              <w:rPr>
                <w:rFonts w:eastAsia="Times New Roman"/>
                <w:b/>
                <w:color w:val="000000"/>
                <w:sz w:val="22"/>
                <w:szCs w:val="22"/>
              </w:rPr>
              <w:t>$3.6 million</w:t>
            </w:r>
          </w:p>
        </w:tc>
      </w:tr>
    </w:tbl>
    <w:p w14:paraId="06BEC810" w14:textId="77777777" w:rsidR="00031E4A" w:rsidRDefault="00031E4A" w:rsidP="00031E4A">
      <w:pPr>
        <w:rPr>
          <w:color w:val="000000" w:themeColor="text1"/>
        </w:rPr>
      </w:pPr>
    </w:p>
    <w:p w14:paraId="600DB2C0" w14:textId="12AADEF6" w:rsidR="00031E4A" w:rsidRDefault="00C21553" w:rsidP="00031E4A">
      <w:pPr>
        <w:rPr>
          <w:b/>
          <w:bCs/>
          <w:color w:val="000000" w:themeColor="text1"/>
          <w:sz w:val="32"/>
        </w:rPr>
      </w:pPr>
      <w:r>
        <w:rPr>
          <w:b/>
          <w:color w:val="000000" w:themeColor="text1"/>
        </w:rPr>
        <w:t xml:space="preserve">Note: </w:t>
      </w:r>
      <w:r w:rsidR="00031E4A" w:rsidRPr="00675558">
        <w:rPr>
          <w:color w:val="000000" w:themeColor="text1"/>
        </w:rPr>
        <w:t>Reduction in account ownership or savings may be a result of account owner</w:t>
      </w:r>
      <w:r w:rsidR="004F1400">
        <w:rPr>
          <w:color w:val="000000" w:themeColor="text1"/>
        </w:rPr>
        <w:t>s</w:t>
      </w:r>
      <w:r w:rsidR="00031E4A" w:rsidRPr="00675558">
        <w:rPr>
          <w:color w:val="000000" w:themeColor="text1"/>
        </w:rPr>
        <w:t xml:space="preserve"> using funds </w:t>
      </w:r>
      <w:r w:rsidR="006A4CBC">
        <w:rPr>
          <w:color w:val="000000" w:themeColor="text1"/>
        </w:rPr>
        <w:t>for qualified</w:t>
      </w:r>
      <w:r w:rsidR="006A4CBC" w:rsidRPr="00675558">
        <w:rPr>
          <w:color w:val="000000" w:themeColor="text1"/>
        </w:rPr>
        <w:t xml:space="preserve"> </w:t>
      </w:r>
      <w:r w:rsidR="00031E4A" w:rsidRPr="00675558">
        <w:rPr>
          <w:color w:val="000000" w:themeColor="text1"/>
        </w:rPr>
        <w:t xml:space="preserve">higher education </w:t>
      </w:r>
      <w:r w:rsidR="006A4CBC">
        <w:rPr>
          <w:color w:val="000000" w:themeColor="text1"/>
        </w:rPr>
        <w:t>expenses</w:t>
      </w:r>
      <w:r w:rsidR="006A4CBC" w:rsidRPr="00675558">
        <w:rPr>
          <w:color w:val="000000" w:themeColor="text1"/>
        </w:rPr>
        <w:t xml:space="preserve"> </w:t>
      </w:r>
      <w:r w:rsidR="006A4CBC">
        <w:rPr>
          <w:color w:val="000000" w:themeColor="text1"/>
        </w:rPr>
        <w:t>or</w:t>
      </w:r>
      <w:r w:rsidR="006A4CBC" w:rsidRPr="00675558">
        <w:rPr>
          <w:color w:val="000000" w:themeColor="text1"/>
        </w:rPr>
        <w:t xml:space="preserve"> </w:t>
      </w:r>
      <w:r w:rsidR="00031E4A" w:rsidRPr="00675558">
        <w:rPr>
          <w:color w:val="000000" w:themeColor="text1"/>
        </w:rPr>
        <w:t>closing the accounts.</w:t>
      </w:r>
      <w:r w:rsidR="00031E4A">
        <w:rPr>
          <w:b/>
          <w:color w:val="000000" w:themeColor="text1"/>
        </w:rPr>
        <w:t xml:space="preserve"> </w:t>
      </w:r>
      <w:r w:rsidR="008A5521" w:rsidRPr="008A5521">
        <w:rPr>
          <w:color w:val="000000" w:themeColor="text1"/>
        </w:rPr>
        <w:t>Numbers reported here are rounded.</w:t>
      </w:r>
      <w:r w:rsidR="008A5521">
        <w:rPr>
          <w:b/>
          <w:color w:val="000000" w:themeColor="text1"/>
        </w:rPr>
        <w:t xml:space="preserve"> </w:t>
      </w:r>
      <w:r w:rsidR="00034AED">
        <w:rPr>
          <w:color w:val="000000" w:themeColor="text1"/>
          <w:sz w:val="22"/>
        </w:rPr>
        <w:t xml:space="preserve">Data reported in this report compares 9/30/2016 to 9/30/2017. </w:t>
      </w:r>
      <w:r w:rsidR="00031E4A">
        <w:rPr>
          <w:b/>
          <w:color w:val="000000" w:themeColor="text1"/>
        </w:rPr>
        <w:br w:type="page"/>
      </w:r>
    </w:p>
    <w:p w14:paraId="088F5EA6" w14:textId="77777777" w:rsidR="00031E4A" w:rsidRDefault="00031E4A" w:rsidP="00031E4A">
      <w:pPr>
        <w:shd w:val="clear" w:color="auto" w:fill="FFFFFF"/>
        <w:spacing w:after="225"/>
        <w:jc w:val="both"/>
        <w:rPr>
          <w:b/>
          <w:bCs/>
          <w:color w:val="000000" w:themeColor="text1"/>
          <w:sz w:val="32"/>
        </w:rPr>
      </w:pPr>
      <w:r>
        <w:rPr>
          <w:b/>
          <w:bCs/>
          <w:color w:val="000000" w:themeColor="text1"/>
          <w:sz w:val="32"/>
        </w:rPr>
        <w:lastRenderedPageBreak/>
        <w:t>North Idaho Case Study: Michael Nail</w:t>
      </w:r>
    </w:p>
    <w:p w14:paraId="7F2EB32F" w14:textId="2410EA8C" w:rsidR="00031E4A" w:rsidRDefault="00031E4A" w:rsidP="00031E4A">
      <w:pPr>
        <w:shd w:val="clear" w:color="auto" w:fill="FFFFFF"/>
        <w:spacing w:after="225"/>
        <w:jc w:val="both"/>
        <w:rPr>
          <w:color w:val="000000"/>
          <w:sz w:val="22"/>
          <w:szCs w:val="22"/>
        </w:rPr>
      </w:pPr>
      <w:r>
        <w:rPr>
          <w:noProof/>
        </w:rPr>
        <w:drawing>
          <wp:anchor distT="0" distB="0" distL="114300" distR="114300" simplePos="0" relativeHeight="251662336" behindDoc="0" locked="0" layoutInCell="1" allowOverlap="1" wp14:anchorId="037276B5" wp14:editId="5940B5E0">
            <wp:simplePos x="0" y="0"/>
            <wp:positionH relativeFrom="column">
              <wp:posOffset>3136900</wp:posOffset>
            </wp:positionH>
            <wp:positionV relativeFrom="paragraph">
              <wp:posOffset>29845</wp:posOffset>
            </wp:positionV>
            <wp:extent cx="2783205" cy="1820545"/>
            <wp:effectExtent l="0" t="0" r="1079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3205" cy="182054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2"/>
          <w:szCs w:val="22"/>
        </w:rPr>
        <w:t xml:space="preserve">For Christmas this year, Michael Nail’s parents won’t be giving his children, </w:t>
      </w:r>
      <w:proofErr w:type="spellStart"/>
      <w:r>
        <w:rPr>
          <w:color w:val="000000"/>
          <w:sz w:val="22"/>
          <w:szCs w:val="22"/>
        </w:rPr>
        <w:t>Emmie</w:t>
      </w:r>
      <w:proofErr w:type="spellEnd"/>
      <w:r>
        <w:rPr>
          <w:color w:val="000000"/>
          <w:sz w:val="22"/>
          <w:szCs w:val="22"/>
        </w:rPr>
        <w:t xml:space="preserve"> and Eli, toys. Instead, the grandparents will be contributing to the children’s </w:t>
      </w:r>
      <w:proofErr w:type="spellStart"/>
      <w:r>
        <w:rPr>
          <w:color w:val="000000"/>
          <w:sz w:val="22"/>
          <w:szCs w:val="22"/>
        </w:rPr>
        <w:t>IDeal</w:t>
      </w:r>
      <w:proofErr w:type="spellEnd"/>
      <w:r>
        <w:rPr>
          <w:color w:val="000000"/>
          <w:sz w:val="22"/>
          <w:szCs w:val="22"/>
        </w:rPr>
        <w:t>—Idaho 529 College Savings Plan accou</w:t>
      </w:r>
      <w:r w:rsidR="00C21553">
        <w:rPr>
          <w:color w:val="000000"/>
          <w:sz w:val="22"/>
          <w:szCs w:val="22"/>
        </w:rPr>
        <w:t>nts</w:t>
      </w:r>
      <w:r>
        <w:rPr>
          <w:color w:val="000000"/>
          <w:sz w:val="22"/>
          <w:szCs w:val="22"/>
        </w:rPr>
        <w:t xml:space="preserve">.  </w:t>
      </w:r>
    </w:p>
    <w:p w14:paraId="3D9D0AB6" w14:textId="77777777" w:rsidR="00031E4A" w:rsidRDefault="00031E4A" w:rsidP="00031E4A">
      <w:pPr>
        <w:shd w:val="clear" w:color="auto" w:fill="FFFFFF"/>
        <w:spacing w:after="225"/>
        <w:jc w:val="both"/>
        <w:rPr>
          <w:color w:val="000000"/>
          <w:sz w:val="22"/>
          <w:szCs w:val="22"/>
        </w:rPr>
      </w:pPr>
      <w:proofErr w:type="spellStart"/>
      <w:r>
        <w:rPr>
          <w:color w:val="000000"/>
          <w:sz w:val="22"/>
          <w:szCs w:val="22"/>
        </w:rPr>
        <w:t>Emmie</w:t>
      </w:r>
      <w:proofErr w:type="spellEnd"/>
      <w:r>
        <w:rPr>
          <w:color w:val="000000"/>
          <w:sz w:val="22"/>
          <w:szCs w:val="22"/>
        </w:rPr>
        <w:t xml:space="preserve">, age eight, and Eli, age six, may not yet appreciate the gift of college savings. “They don’t like it” says Michael. But that’s okay with him, because, he says, “Having the kids be able to start with a clean slate after college is really important to my wife and me.” Michael’s parents don’t mind either. “They’re pretty practical folks,” Michael notes, “so they’d rather put the money toward college than a toy.” </w:t>
      </w:r>
    </w:p>
    <w:p w14:paraId="4CB0ACAD" w14:textId="77777777" w:rsidR="00031E4A" w:rsidRDefault="00031E4A" w:rsidP="00031E4A">
      <w:pPr>
        <w:shd w:val="clear" w:color="auto" w:fill="FFFFFF"/>
        <w:spacing w:after="225"/>
        <w:jc w:val="both"/>
        <w:rPr>
          <w:color w:val="000000"/>
          <w:sz w:val="22"/>
          <w:szCs w:val="22"/>
        </w:rPr>
      </w:pPr>
      <w:r>
        <w:rPr>
          <w:color w:val="000000"/>
          <w:sz w:val="22"/>
          <w:szCs w:val="22"/>
        </w:rPr>
        <w:t xml:space="preserve">Michael started saving for </w:t>
      </w:r>
      <w:proofErr w:type="spellStart"/>
      <w:r>
        <w:rPr>
          <w:color w:val="000000"/>
          <w:sz w:val="22"/>
          <w:szCs w:val="22"/>
        </w:rPr>
        <w:t>Emmie</w:t>
      </w:r>
      <w:proofErr w:type="spellEnd"/>
      <w:r>
        <w:rPr>
          <w:color w:val="000000"/>
          <w:sz w:val="22"/>
          <w:szCs w:val="22"/>
        </w:rPr>
        <w:t xml:space="preserve"> and Eli about three years ago. He and his wife both had help from their own parents financing their higher education, and the couple wanted to be able to do the same for their own children. As an accountant, Michael sees firsthand how student loans can impact a person’s personal finances long after they graduate from college. “My younger clients—I tell them that I see people my age still paying for their education twenty years later.” </w:t>
      </w:r>
    </w:p>
    <w:p w14:paraId="30DD4A68" w14:textId="77777777" w:rsidR="00031E4A" w:rsidRDefault="00031E4A" w:rsidP="00031E4A">
      <w:pPr>
        <w:shd w:val="clear" w:color="auto" w:fill="FFFFFF"/>
        <w:spacing w:after="225"/>
        <w:jc w:val="both"/>
        <w:rPr>
          <w:color w:val="000000"/>
          <w:sz w:val="22"/>
          <w:szCs w:val="22"/>
        </w:rPr>
      </w:pPr>
      <w:r>
        <w:rPr>
          <w:color w:val="000000"/>
          <w:sz w:val="22"/>
          <w:szCs w:val="22"/>
        </w:rPr>
        <w:t xml:space="preserve">Once Michael opened accounts for his children, he says it was easy to convince his parents to contribute to the children’s college savings accounts on special occasions. “I just said if you want to put money into college savings accounts instead of buying a toy that’s going to break in a few months, this is an option.”  Michael’s parents use </w:t>
      </w:r>
      <w:proofErr w:type="spellStart"/>
      <w:r>
        <w:rPr>
          <w:color w:val="000000"/>
          <w:sz w:val="22"/>
          <w:szCs w:val="22"/>
        </w:rPr>
        <w:t>IDeal’s</w:t>
      </w:r>
      <w:proofErr w:type="spellEnd"/>
      <w:r>
        <w:rPr>
          <w:color w:val="000000"/>
          <w:sz w:val="22"/>
          <w:szCs w:val="22"/>
        </w:rPr>
        <w:t xml:space="preserve"> online gifting feature. </w:t>
      </w:r>
    </w:p>
    <w:p w14:paraId="347C3E4A" w14:textId="77777777" w:rsidR="00031E4A" w:rsidRDefault="00031E4A" w:rsidP="00031E4A">
      <w:pPr>
        <w:shd w:val="clear" w:color="auto" w:fill="FFFFFF"/>
        <w:spacing w:after="225"/>
        <w:jc w:val="both"/>
        <w:rPr>
          <w:color w:val="000000"/>
          <w:sz w:val="22"/>
          <w:szCs w:val="22"/>
        </w:rPr>
      </w:pPr>
      <w:r>
        <w:rPr>
          <w:color w:val="000000"/>
          <w:sz w:val="22"/>
          <w:szCs w:val="22"/>
        </w:rPr>
        <w:t xml:space="preserve">By contributing to </w:t>
      </w:r>
      <w:proofErr w:type="spellStart"/>
      <w:r>
        <w:rPr>
          <w:color w:val="000000"/>
          <w:sz w:val="22"/>
          <w:szCs w:val="22"/>
        </w:rPr>
        <w:t>Emmie</w:t>
      </w:r>
      <w:proofErr w:type="spellEnd"/>
      <w:r>
        <w:rPr>
          <w:color w:val="000000"/>
          <w:sz w:val="22"/>
          <w:szCs w:val="22"/>
        </w:rPr>
        <w:t xml:space="preserve"> and Eli’s college savings accounts, Michael’s parents are also giving him a gift. “It’s money I won’t have to spend later,” he states, but it’s also helping him build peace-of-mind about his children’s futures. “It’s always easier to start saving now, versus putting your head in the sand and waiting.” </w:t>
      </w:r>
    </w:p>
    <w:p w14:paraId="1D6E73CD" w14:textId="77777777" w:rsidR="00031E4A" w:rsidRDefault="00031E4A" w:rsidP="00031E4A">
      <w:pPr>
        <w:shd w:val="clear" w:color="auto" w:fill="FFFFFF"/>
        <w:spacing w:after="225"/>
        <w:jc w:val="both"/>
        <w:rPr>
          <w:color w:val="000000"/>
          <w:sz w:val="20"/>
          <w:szCs w:val="20"/>
        </w:rPr>
      </w:pPr>
      <w:r>
        <w:rPr>
          <w:b/>
          <w:color w:val="000000" w:themeColor="text1"/>
        </w:rPr>
        <w:br w:type="page"/>
      </w:r>
    </w:p>
    <w:p w14:paraId="315D4DEC" w14:textId="77777777" w:rsidR="00031E4A" w:rsidRDefault="00031E4A" w:rsidP="00031E4A">
      <w:pPr>
        <w:rPr>
          <w:b/>
          <w:bCs/>
          <w:color w:val="000000" w:themeColor="text1"/>
          <w:sz w:val="32"/>
        </w:rPr>
      </w:pPr>
      <w:r>
        <w:rPr>
          <w:b/>
          <w:bCs/>
          <w:color w:val="000000" w:themeColor="text1"/>
          <w:sz w:val="32"/>
        </w:rPr>
        <w:lastRenderedPageBreak/>
        <w:t>Southwest Idaho Findings</w:t>
      </w:r>
    </w:p>
    <w:p w14:paraId="63833764" w14:textId="77777777" w:rsidR="00031E4A" w:rsidRDefault="00031E4A" w:rsidP="00031E4A">
      <w:pPr>
        <w:rPr>
          <w:b/>
          <w:bCs/>
          <w:color w:val="000000" w:themeColor="text1"/>
          <w:sz w:val="32"/>
        </w:rPr>
      </w:pPr>
    </w:p>
    <w:p w14:paraId="3BF0DD4E" w14:textId="262CA0A1" w:rsidR="00031E4A" w:rsidRPr="00A2154B" w:rsidRDefault="00031E4A" w:rsidP="00031E4A">
      <w:pPr>
        <w:pStyle w:val="ListParagraph"/>
        <w:numPr>
          <w:ilvl w:val="0"/>
          <w:numId w:val="4"/>
        </w:numPr>
        <w:rPr>
          <w:rFonts w:ascii="Times New Roman" w:hAnsi="Times New Roman" w:cs="Times New Roman"/>
          <w:color w:val="000000" w:themeColor="text1"/>
          <w:sz w:val="22"/>
          <w:szCs w:val="22"/>
        </w:rPr>
      </w:pPr>
      <w:r w:rsidRPr="00A2154B">
        <w:rPr>
          <w:rFonts w:ascii="Times New Roman" w:hAnsi="Times New Roman" w:cs="Times New Roman"/>
          <w:color w:val="000000" w:themeColor="text1"/>
          <w:sz w:val="22"/>
          <w:szCs w:val="22"/>
        </w:rPr>
        <w:t>Southwest Idaho families have $</w:t>
      </w:r>
      <w:r w:rsidR="00E83009" w:rsidRPr="00A2154B">
        <w:rPr>
          <w:rFonts w:ascii="Times New Roman" w:hAnsi="Times New Roman" w:cs="Times New Roman"/>
          <w:color w:val="000000" w:themeColor="text1"/>
          <w:sz w:val="22"/>
          <w:szCs w:val="22"/>
        </w:rPr>
        <w:t>35</w:t>
      </w:r>
      <w:r w:rsidRPr="00A2154B">
        <w:rPr>
          <w:rFonts w:ascii="Times New Roman" w:hAnsi="Times New Roman" w:cs="Times New Roman"/>
          <w:color w:val="000000" w:themeColor="text1"/>
          <w:sz w:val="22"/>
          <w:szCs w:val="22"/>
        </w:rPr>
        <w:t xml:space="preserve"> million more in their </w:t>
      </w:r>
      <w:proofErr w:type="spellStart"/>
      <w:r w:rsidRPr="00A2154B">
        <w:rPr>
          <w:rFonts w:ascii="Times New Roman" w:hAnsi="Times New Roman" w:cs="Times New Roman"/>
          <w:color w:val="000000" w:themeColor="text1"/>
          <w:sz w:val="22"/>
          <w:szCs w:val="22"/>
        </w:rPr>
        <w:t>IDeal</w:t>
      </w:r>
      <w:proofErr w:type="spellEnd"/>
      <w:r w:rsidRPr="00A2154B">
        <w:rPr>
          <w:rFonts w:ascii="Times New Roman" w:hAnsi="Times New Roman" w:cs="Times New Roman"/>
          <w:color w:val="000000" w:themeColor="text1"/>
          <w:sz w:val="22"/>
          <w:szCs w:val="22"/>
        </w:rPr>
        <w:t xml:space="preserve"> college savings accounts than they did a yea</w:t>
      </w:r>
      <w:r w:rsidR="00A2154B" w:rsidRPr="00A2154B">
        <w:rPr>
          <w:rFonts w:ascii="Times New Roman" w:hAnsi="Times New Roman" w:cs="Times New Roman"/>
          <w:color w:val="000000" w:themeColor="text1"/>
          <w:sz w:val="22"/>
          <w:szCs w:val="22"/>
        </w:rPr>
        <w:t>r prior</w:t>
      </w:r>
      <w:r w:rsidRPr="00A2154B">
        <w:rPr>
          <w:rFonts w:ascii="Times New Roman" w:hAnsi="Times New Roman" w:cs="Times New Roman"/>
          <w:color w:val="000000" w:themeColor="text1"/>
          <w:sz w:val="22"/>
          <w:szCs w:val="22"/>
        </w:rPr>
        <w:t xml:space="preserve">. </w:t>
      </w:r>
      <w:r w:rsidRPr="00A2154B">
        <w:rPr>
          <w:rFonts w:ascii="Times New Roman" w:hAnsi="Times New Roman" w:cs="Times New Roman"/>
          <w:color w:val="000000" w:themeColor="text1"/>
          <w:sz w:val="22"/>
          <w:szCs w:val="22"/>
        </w:rPr>
        <w:br/>
      </w:r>
    </w:p>
    <w:p w14:paraId="2266DB58" w14:textId="77777777" w:rsidR="00031E4A" w:rsidRPr="00A2154B" w:rsidRDefault="00031E4A" w:rsidP="00031E4A">
      <w:pPr>
        <w:pStyle w:val="ListParagraph"/>
        <w:numPr>
          <w:ilvl w:val="0"/>
          <w:numId w:val="4"/>
        </w:numPr>
        <w:rPr>
          <w:rFonts w:ascii="Times New Roman" w:hAnsi="Times New Roman" w:cs="Times New Roman"/>
          <w:color w:val="000000" w:themeColor="text1"/>
          <w:sz w:val="22"/>
          <w:szCs w:val="22"/>
        </w:rPr>
      </w:pPr>
      <w:r w:rsidRPr="00A2154B">
        <w:rPr>
          <w:rFonts w:ascii="Times New Roman" w:hAnsi="Times New Roman" w:cs="Times New Roman"/>
          <w:color w:val="000000" w:themeColor="text1"/>
          <w:sz w:val="22"/>
          <w:szCs w:val="22"/>
        </w:rPr>
        <w:t>Boise County led southwest Idaho in growth in account ownership.</w:t>
      </w:r>
      <w:r w:rsidRPr="00A2154B">
        <w:rPr>
          <w:rFonts w:ascii="Times New Roman" w:hAnsi="Times New Roman" w:cs="Times New Roman"/>
          <w:color w:val="000000" w:themeColor="text1"/>
          <w:sz w:val="22"/>
          <w:szCs w:val="22"/>
        </w:rPr>
        <w:br/>
      </w:r>
    </w:p>
    <w:p w14:paraId="6B50CDC8" w14:textId="04CC40A4" w:rsidR="006569BF" w:rsidRPr="00A2154B" w:rsidRDefault="006569BF" w:rsidP="006569BF">
      <w:pPr>
        <w:pStyle w:val="ListParagraph"/>
        <w:numPr>
          <w:ilvl w:val="0"/>
          <w:numId w:val="4"/>
        </w:numPr>
        <w:rPr>
          <w:rFonts w:ascii="Times New Roman" w:hAnsi="Times New Roman" w:cs="Times New Roman"/>
          <w:color w:val="000000" w:themeColor="text1"/>
          <w:sz w:val="22"/>
          <w:szCs w:val="22"/>
        </w:rPr>
      </w:pPr>
      <w:r w:rsidRPr="00A2154B">
        <w:rPr>
          <w:rFonts w:ascii="Times New Roman" w:hAnsi="Times New Roman" w:cs="Times New Roman"/>
          <w:color w:val="000000" w:themeColor="text1"/>
          <w:sz w:val="22"/>
          <w:szCs w:val="22"/>
        </w:rPr>
        <w:t xml:space="preserve">Ada County residents used </w:t>
      </w:r>
      <w:r w:rsidR="008A0842" w:rsidRPr="00A2154B">
        <w:rPr>
          <w:rFonts w:ascii="Times New Roman" w:hAnsi="Times New Roman" w:cs="Times New Roman"/>
          <w:color w:val="000000" w:themeColor="text1"/>
          <w:sz w:val="22"/>
          <w:szCs w:val="22"/>
        </w:rPr>
        <w:t>$17.5 million</w:t>
      </w:r>
      <w:r w:rsidRPr="00A2154B">
        <w:rPr>
          <w:rFonts w:ascii="Times New Roman" w:hAnsi="Times New Roman" w:cs="Times New Roman"/>
          <w:color w:val="000000" w:themeColor="text1"/>
          <w:sz w:val="22"/>
          <w:szCs w:val="22"/>
        </w:rPr>
        <w:t xml:space="preserve"> through </w:t>
      </w:r>
      <w:proofErr w:type="spellStart"/>
      <w:r w:rsidRPr="00A2154B">
        <w:rPr>
          <w:rFonts w:ascii="Times New Roman" w:hAnsi="Times New Roman" w:cs="Times New Roman"/>
          <w:color w:val="000000" w:themeColor="text1"/>
          <w:sz w:val="22"/>
          <w:szCs w:val="22"/>
        </w:rPr>
        <w:t>IDeal</w:t>
      </w:r>
      <w:proofErr w:type="spellEnd"/>
      <w:r w:rsidRPr="00A2154B">
        <w:rPr>
          <w:rFonts w:ascii="Times New Roman" w:hAnsi="Times New Roman" w:cs="Times New Roman"/>
          <w:color w:val="000000" w:themeColor="text1"/>
          <w:sz w:val="22"/>
          <w:szCs w:val="22"/>
        </w:rPr>
        <w:t xml:space="preserve"> toward higher education over the past year.  </w:t>
      </w:r>
    </w:p>
    <w:p w14:paraId="5EF988EC" w14:textId="51DB7D93" w:rsidR="00031E4A" w:rsidRPr="00A2154B" w:rsidRDefault="00031E4A" w:rsidP="0030203B">
      <w:pPr>
        <w:pStyle w:val="ListParagraph"/>
        <w:rPr>
          <w:rFonts w:ascii="Times New Roman" w:hAnsi="Times New Roman" w:cs="Times New Roman"/>
          <w:color w:val="000000" w:themeColor="text1"/>
          <w:sz w:val="22"/>
          <w:szCs w:val="22"/>
          <w:highlight w:val="yellow"/>
        </w:rPr>
      </w:pPr>
    </w:p>
    <w:p w14:paraId="2606AA4A" w14:textId="77777777" w:rsidR="00031E4A" w:rsidRDefault="00031E4A" w:rsidP="00031E4A">
      <w:pPr>
        <w:rPr>
          <w:b/>
          <w:color w:val="000000" w:themeColor="text1"/>
        </w:rPr>
      </w:pPr>
    </w:p>
    <w:p w14:paraId="68BFA994" w14:textId="77777777" w:rsidR="00031E4A" w:rsidRDefault="00031E4A" w:rsidP="00031E4A">
      <w:pPr>
        <w:rPr>
          <w:b/>
          <w:color w:val="000000" w:themeColor="text1"/>
        </w:rPr>
      </w:pPr>
    </w:p>
    <w:tbl>
      <w:tblPr>
        <w:tblW w:w="8511" w:type="dxa"/>
        <w:tblInd w:w="849" w:type="dxa"/>
        <w:tblBorders>
          <w:insideH w:val="single" w:sz="4" w:space="0" w:color="auto"/>
        </w:tblBorders>
        <w:tblLook w:val="04A0" w:firstRow="1" w:lastRow="0" w:firstColumn="1" w:lastColumn="0" w:noHBand="0" w:noVBand="1"/>
      </w:tblPr>
      <w:tblGrid>
        <w:gridCol w:w="2376"/>
        <w:gridCol w:w="2180"/>
        <w:gridCol w:w="2360"/>
        <w:gridCol w:w="1595"/>
      </w:tblGrid>
      <w:tr w:rsidR="00031E4A" w:rsidRPr="006569BF" w14:paraId="10167AB2" w14:textId="77777777" w:rsidTr="003522CA">
        <w:trPr>
          <w:trHeight w:val="612"/>
        </w:trPr>
        <w:tc>
          <w:tcPr>
            <w:tcW w:w="2376" w:type="dxa"/>
            <w:tcBorders>
              <w:top w:val="nil"/>
              <w:left w:val="nil"/>
              <w:bottom w:val="single" w:sz="4" w:space="0" w:color="auto"/>
              <w:right w:val="nil"/>
            </w:tcBorders>
            <w:noWrap/>
            <w:vAlign w:val="center"/>
            <w:hideMark/>
          </w:tcPr>
          <w:p w14:paraId="1BD984A9" w14:textId="77777777" w:rsidR="00031E4A" w:rsidRDefault="00031E4A" w:rsidP="003522CA">
            <w:pPr>
              <w:jc w:val="center"/>
              <w:rPr>
                <w:b/>
                <w:color w:val="000000" w:themeColor="text1"/>
              </w:rPr>
            </w:pPr>
          </w:p>
        </w:tc>
        <w:tc>
          <w:tcPr>
            <w:tcW w:w="2180" w:type="dxa"/>
            <w:tcBorders>
              <w:top w:val="nil"/>
              <w:left w:val="nil"/>
              <w:bottom w:val="single" w:sz="4" w:space="0" w:color="auto"/>
              <w:right w:val="nil"/>
            </w:tcBorders>
            <w:noWrap/>
            <w:vAlign w:val="center"/>
            <w:hideMark/>
          </w:tcPr>
          <w:p w14:paraId="02C2FE79" w14:textId="77777777" w:rsidR="00031E4A" w:rsidRDefault="00031E4A" w:rsidP="003522CA">
            <w:pPr>
              <w:jc w:val="center"/>
              <w:rPr>
                <w:rFonts w:eastAsia="Times New Roman"/>
                <w:b/>
                <w:color w:val="000000"/>
                <w:sz w:val="22"/>
                <w:szCs w:val="22"/>
              </w:rPr>
            </w:pPr>
            <w:r>
              <w:rPr>
                <w:rFonts w:eastAsia="Times New Roman"/>
                <w:b/>
                <w:color w:val="000000"/>
                <w:sz w:val="22"/>
                <w:szCs w:val="22"/>
              </w:rPr>
              <w:t>Account Owner % Change</w:t>
            </w:r>
          </w:p>
        </w:tc>
        <w:tc>
          <w:tcPr>
            <w:tcW w:w="2360" w:type="dxa"/>
            <w:tcBorders>
              <w:top w:val="nil"/>
              <w:left w:val="nil"/>
              <w:bottom w:val="single" w:sz="4" w:space="0" w:color="auto"/>
              <w:right w:val="nil"/>
            </w:tcBorders>
            <w:noWrap/>
            <w:vAlign w:val="center"/>
            <w:hideMark/>
          </w:tcPr>
          <w:p w14:paraId="0DA9087B" w14:textId="60CEFC77" w:rsidR="00031E4A" w:rsidRDefault="0030203B" w:rsidP="003522CA">
            <w:pPr>
              <w:jc w:val="center"/>
              <w:rPr>
                <w:rFonts w:eastAsia="Times New Roman"/>
                <w:b/>
                <w:color w:val="000000"/>
                <w:sz w:val="22"/>
                <w:szCs w:val="22"/>
              </w:rPr>
            </w:pPr>
            <w:r>
              <w:rPr>
                <w:rFonts w:eastAsia="Times New Roman"/>
                <w:b/>
                <w:color w:val="000000"/>
                <w:szCs w:val="22"/>
              </w:rPr>
              <w:t>Approximate Change in Savings</w:t>
            </w:r>
          </w:p>
        </w:tc>
        <w:tc>
          <w:tcPr>
            <w:tcW w:w="1595" w:type="dxa"/>
            <w:tcBorders>
              <w:top w:val="nil"/>
              <w:left w:val="nil"/>
              <w:bottom w:val="single" w:sz="4" w:space="0" w:color="auto"/>
              <w:right w:val="nil"/>
            </w:tcBorders>
            <w:vAlign w:val="center"/>
            <w:hideMark/>
          </w:tcPr>
          <w:p w14:paraId="28B703B8" w14:textId="0777870F" w:rsidR="00031E4A" w:rsidRPr="006569BF" w:rsidRDefault="00071E58" w:rsidP="003522CA">
            <w:pPr>
              <w:jc w:val="center"/>
              <w:rPr>
                <w:rFonts w:eastAsia="Times New Roman"/>
                <w:b/>
                <w:color w:val="000000"/>
                <w:sz w:val="22"/>
                <w:szCs w:val="22"/>
              </w:rPr>
            </w:pPr>
            <w:r>
              <w:rPr>
                <w:rFonts w:eastAsia="Times New Roman"/>
                <w:b/>
                <w:color w:val="000000"/>
                <w:szCs w:val="22"/>
              </w:rPr>
              <w:t>Account withdrawals to pay for higher education</w:t>
            </w:r>
          </w:p>
        </w:tc>
      </w:tr>
      <w:tr w:rsidR="00031E4A" w:rsidRPr="006569BF" w14:paraId="4AEB0551" w14:textId="77777777" w:rsidTr="003522CA">
        <w:trPr>
          <w:trHeight w:val="420"/>
        </w:trPr>
        <w:tc>
          <w:tcPr>
            <w:tcW w:w="2376" w:type="dxa"/>
            <w:tcBorders>
              <w:top w:val="single" w:sz="4" w:space="0" w:color="auto"/>
              <w:left w:val="nil"/>
              <w:bottom w:val="single" w:sz="4" w:space="0" w:color="auto"/>
              <w:right w:val="nil"/>
            </w:tcBorders>
            <w:vAlign w:val="center"/>
            <w:hideMark/>
          </w:tcPr>
          <w:p w14:paraId="496DB1C4" w14:textId="77777777" w:rsidR="00031E4A" w:rsidRDefault="00031E4A" w:rsidP="003522CA">
            <w:pPr>
              <w:jc w:val="center"/>
              <w:rPr>
                <w:rFonts w:eastAsia="Times New Roman"/>
                <w:color w:val="000000"/>
                <w:sz w:val="22"/>
                <w:szCs w:val="22"/>
              </w:rPr>
            </w:pPr>
            <w:r>
              <w:rPr>
                <w:rFonts w:eastAsia="Times New Roman"/>
                <w:color w:val="000000"/>
                <w:sz w:val="22"/>
                <w:szCs w:val="22"/>
              </w:rPr>
              <w:t>Boise</w:t>
            </w:r>
          </w:p>
        </w:tc>
        <w:tc>
          <w:tcPr>
            <w:tcW w:w="2180" w:type="dxa"/>
            <w:tcBorders>
              <w:top w:val="single" w:sz="4" w:space="0" w:color="auto"/>
              <w:left w:val="nil"/>
              <w:bottom w:val="single" w:sz="4" w:space="0" w:color="auto"/>
              <w:right w:val="nil"/>
            </w:tcBorders>
            <w:vAlign w:val="center"/>
            <w:hideMark/>
          </w:tcPr>
          <w:p w14:paraId="38F7A8B9" w14:textId="77777777" w:rsidR="00031E4A" w:rsidRDefault="00071E58" w:rsidP="003522CA">
            <w:pPr>
              <w:jc w:val="center"/>
              <w:rPr>
                <w:rFonts w:eastAsia="Times New Roman"/>
                <w:color w:val="000000"/>
                <w:sz w:val="22"/>
                <w:szCs w:val="22"/>
              </w:rPr>
            </w:pPr>
            <w:r>
              <w:rPr>
                <w:rFonts w:eastAsia="Times New Roman"/>
                <w:color w:val="000000"/>
                <w:sz w:val="22"/>
                <w:szCs w:val="22"/>
              </w:rPr>
              <w:t>5.7</w:t>
            </w:r>
            <w:r w:rsidR="00031E4A">
              <w:rPr>
                <w:rFonts w:eastAsia="Times New Roman"/>
                <w:color w:val="000000"/>
                <w:sz w:val="22"/>
                <w:szCs w:val="22"/>
              </w:rPr>
              <w:t>%</w:t>
            </w:r>
          </w:p>
          <w:p w14:paraId="10498166" w14:textId="2D5D1A93" w:rsidR="00DA5067" w:rsidRDefault="00DA5067" w:rsidP="003522CA">
            <w:pPr>
              <w:jc w:val="center"/>
              <w:rPr>
                <w:rFonts w:eastAsia="Times New Roman"/>
                <w:color w:val="000000"/>
                <w:sz w:val="22"/>
                <w:szCs w:val="22"/>
              </w:rPr>
            </w:pPr>
            <w:r>
              <w:rPr>
                <w:rFonts w:eastAsia="Times New Roman"/>
                <w:color w:val="000000"/>
                <w:sz w:val="22"/>
                <w:szCs w:val="22"/>
              </w:rPr>
              <w:t>(+</w:t>
            </w:r>
            <w:r w:rsidR="009364AB">
              <w:rPr>
                <w:rFonts w:eastAsia="Times New Roman"/>
                <w:color w:val="000000"/>
                <w:sz w:val="22"/>
                <w:szCs w:val="22"/>
              </w:rPr>
              <w:t>2)</w:t>
            </w:r>
          </w:p>
        </w:tc>
        <w:tc>
          <w:tcPr>
            <w:tcW w:w="2360" w:type="dxa"/>
            <w:tcBorders>
              <w:top w:val="single" w:sz="4" w:space="0" w:color="auto"/>
              <w:left w:val="nil"/>
              <w:bottom w:val="single" w:sz="4" w:space="0" w:color="auto"/>
              <w:right w:val="nil"/>
            </w:tcBorders>
            <w:vAlign w:val="center"/>
            <w:hideMark/>
          </w:tcPr>
          <w:p w14:paraId="6EF5EDAF" w14:textId="1C6CC44B" w:rsidR="00031E4A" w:rsidRDefault="00031E4A" w:rsidP="005F3E75">
            <w:pPr>
              <w:jc w:val="center"/>
              <w:rPr>
                <w:rFonts w:eastAsia="Times New Roman"/>
                <w:color w:val="000000"/>
                <w:sz w:val="22"/>
                <w:szCs w:val="22"/>
              </w:rPr>
            </w:pPr>
            <w:r>
              <w:rPr>
                <w:rFonts w:eastAsia="Times New Roman"/>
                <w:color w:val="000000"/>
                <w:sz w:val="22"/>
                <w:szCs w:val="22"/>
              </w:rPr>
              <w:t>$82,</w:t>
            </w:r>
            <w:r w:rsidR="005F3E75">
              <w:rPr>
                <w:rFonts w:eastAsia="Times New Roman"/>
                <w:color w:val="000000"/>
                <w:sz w:val="22"/>
                <w:szCs w:val="22"/>
              </w:rPr>
              <w:t>000</w:t>
            </w:r>
          </w:p>
        </w:tc>
        <w:tc>
          <w:tcPr>
            <w:tcW w:w="1595" w:type="dxa"/>
            <w:tcBorders>
              <w:top w:val="single" w:sz="4" w:space="0" w:color="auto"/>
              <w:left w:val="nil"/>
              <w:bottom w:val="single" w:sz="4" w:space="0" w:color="auto"/>
              <w:right w:val="nil"/>
            </w:tcBorders>
            <w:vAlign w:val="center"/>
          </w:tcPr>
          <w:p w14:paraId="6BAC4549" w14:textId="47E7C719" w:rsidR="00031E4A" w:rsidRPr="003522CA" w:rsidRDefault="006569BF" w:rsidP="003522CA">
            <w:pPr>
              <w:jc w:val="center"/>
              <w:rPr>
                <w:rFonts w:eastAsia="Times New Roman"/>
                <w:color w:val="000000" w:themeColor="text1"/>
                <w:sz w:val="22"/>
                <w:szCs w:val="22"/>
              </w:rPr>
            </w:pPr>
            <w:r w:rsidRPr="003522CA">
              <w:rPr>
                <w:rFonts w:eastAsia="Times New Roman"/>
                <w:color w:val="000000" w:themeColor="text1"/>
                <w:sz w:val="22"/>
                <w:szCs w:val="22"/>
              </w:rPr>
              <w:t>$</w:t>
            </w:r>
            <w:r w:rsidR="003522CA" w:rsidRPr="003522CA">
              <w:rPr>
                <w:rFonts w:eastAsia="Times New Roman"/>
                <w:color w:val="000000" w:themeColor="text1"/>
                <w:sz w:val="22"/>
                <w:szCs w:val="22"/>
              </w:rPr>
              <w:t>72,000</w:t>
            </w:r>
          </w:p>
        </w:tc>
      </w:tr>
      <w:tr w:rsidR="00031E4A" w:rsidRPr="006569BF" w14:paraId="0CBBCC28" w14:textId="77777777" w:rsidTr="003522CA">
        <w:trPr>
          <w:trHeight w:val="420"/>
        </w:trPr>
        <w:tc>
          <w:tcPr>
            <w:tcW w:w="2376" w:type="dxa"/>
            <w:tcBorders>
              <w:top w:val="single" w:sz="4" w:space="0" w:color="auto"/>
              <w:left w:val="nil"/>
              <w:bottom w:val="single" w:sz="4" w:space="0" w:color="auto"/>
              <w:right w:val="nil"/>
            </w:tcBorders>
            <w:vAlign w:val="center"/>
            <w:hideMark/>
          </w:tcPr>
          <w:p w14:paraId="3537E1BF" w14:textId="77777777" w:rsidR="00031E4A" w:rsidRDefault="00031E4A" w:rsidP="003522CA">
            <w:pPr>
              <w:jc w:val="center"/>
              <w:rPr>
                <w:rFonts w:eastAsia="Times New Roman"/>
                <w:color w:val="000000"/>
                <w:sz w:val="22"/>
                <w:szCs w:val="22"/>
              </w:rPr>
            </w:pPr>
            <w:r>
              <w:rPr>
                <w:rFonts w:eastAsia="Times New Roman"/>
                <w:color w:val="000000"/>
                <w:sz w:val="22"/>
                <w:szCs w:val="22"/>
              </w:rPr>
              <w:t>Canyon</w:t>
            </w:r>
          </w:p>
        </w:tc>
        <w:tc>
          <w:tcPr>
            <w:tcW w:w="2180" w:type="dxa"/>
            <w:tcBorders>
              <w:top w:val="single" w:sz="4" w:space="0" w:color="auto"/>
              <w:left w:val="nil"/>
              <w:bottom w:val="single" w:sz="4" w:space="0" w:color="auto"/>
              <w:right w:val="nil"/>
            </w:tcBorders>
            <w:vAlign w:val="center"/>
            <w:hideMark/>
          </w:tcPr>
          <w:p w14:paraId="67D1374A" w14:textId="77777777" w:rsidR="00031E4A" w:rsidRDefault="00071E58" w:rsidP="003522CA">
            <w:pPr>
              <w:jc w:val="center"/>
              <w:rPr>
                <w:rFonts w:eastAsia="Times New Roman"/>
                <w:color w:val="000000"/>
                <w:sz w:val="22"/>
                <w:szCs w:val="22"/>
              </w:rPr>
            </w:pPr>
            <w:r>
              <w:rPr>
                <w:rFonts w:eastAsia="Times New Roman"/>
                <w:color w:val="000000"/>
                <w:sz w:val="22"/>
                <w:szCs w:val="22"/>
              </w:rPr>
              <w:t>3.1</w:t>
            </w:r>
            <w:r w:rsidR="00031E4A">
              <w:rPr>
                <w:rFonts w:eastAsia="Times New Roman"/>
                <w:color w:val="000000"/>
                <w:sz w:val="22"/>
                <w:szCs w:val="22"/>
              </w:rPr>
              <w:t>%</w:t>
            </w:r>
          </w:p>
          <w:p w14:paraId="3BDC36C0" w14:textId="6043136F" w:rsidR="009364AB" w:rsidRDefault="009364AB" w:rsidP="003522CA">
            <w:pPr>
              <w:jc w:val="center"/>
              <w:rPr>
                <w:rFonts w:eastAsia="Times New Roman"/>
                <w:color w:val="000000"/>
                <w:sz w:val="22"/>
                <w:szCs w:val="22"/>
              </w:rPr>
            </w:pPr>
            <w:r>
              <w:rPr>
                <w:rFonts w:eastAsia="Times New Roman"/>
                <w:color w:val="000000"/>
                <w:sz w:val="22"/>
                <w:szCs w:val="22"/>
              </w:rPr>
              <w:t>(+30)</w:t>
            </w:r>
          </w:p>
        </w:tc>
        <w:tc>
          <w:tcPr>
            <w:tcW w:w="2360" w:type="dxa"/>
            <w:tcBorders>
              <w:top w:val="single" w:sz="4" w:space="0" w:color="auto"/>
              <w:left w:val="nil"/>
              <w:bottom w:val="single" w:sz="4" w:space="0" w:color="auto"/>
              <w:right w:val="nil"/>
            </w:tcBorders>
            <w:vAlign w:val="center"/>
            <w:hideMark/>
          </w:tcPr>
          <w:p w14:paraId="0A2D3FD7" w14:textId="0881F147" w:rsidR="00031E4A" w:rsidRDefault="00031E4A" w:rsidP="005F3E75">
            <w:pPr>
              <w:jc w:val="center"/>
              <w:rPr>
                <w:rFonts w:eastAsia="Times New Roman"/>
                <w:color w:val="000000"/>
                <w:sz w:val="22"/>
                <w:szCs w:val="22"/>
              </w:rPr>
            </w:pPr>
            <w:r>
              <w:rPr>
                <w:rFonts w:eastAsia="Times New Roman"/>
                <w:color w:val="000000"/>
                <w:sz w:val="22"/>
                <w:szCs w:val="22"/>
              </w:rPr>
              <w:t>$1</w:t>
            </w:r>
            <w:r w:rsidR="005F3E75">
              <w:rPr>
                <w:rFonts w:eastAsia="Times New Roman"/>
                <w:color w:val="000000"/>
                <w:sz w:val="22"/>
                <w:szCs w:val="22"/>
              </w:rPr>
              <w:t>.7 million</w:t>
            </w:r>
          </w:p>
        </w:tc>
        <w:tc>
          <w:tcPr>
            <w:tcW w:w="1595" w:type="dxa"/>
            <w:tcBorders>
              <w:top w:val="single" w:sz="4" w:space="0" w:color="auto"/>
              <w:left w:val="nil"/>
              <w:bottom w:val="single" w:sz="4" w:space="0" w:color="auto"/>
              <w:right w:val="nil"/>
            </w:tcBorders>
            <w:vAlign w:val="center"/>
          </w:tcPr>
          <w:p w14:paraId="04F6D7A7" w14:textId="7279E8BB" w:rsidR="00031E4A" w:rsidRPr="003522CA" w:rsidRDefault="003522CA" w:rsidP="003522CA">
            <w:pPr>
              <w:jc w:val="center"/>
              <w:rPr>
                <w:rFonts w:eastAsia="Times New Roman"/>
                <w:color w:val="000000" w:themeColor="text1"/>
                <w:sz w:val="22"/>
                <w:szCs w:val="22"/>
              </w:rPr>
            </w:pPr>
            <w:r w:rsidRPr="003522CA">
              <w:rPr>
                <w:rFonts w:eastAsia="Times New Roman"/>
                <w:color w:val="000000" w:themeColor="text1"/>
                <w:sz w:val="22"/>
                <w:szCs w:val="22"/>
              </w:rPr>
              <w:t>$1.5 million</w:t>
            </w:r>
          </w:p>
        </w:tc>
      </w:tr>
      <w:tr w:rsidR="00031E4A" w:rsidRPr="006569BF" w14:paraId="6BFE177C" w14:textId="77777777" w:rsidTr="003522CA">
        <w:trPr>
          <w:trHeight w:val="420"/>
        </w:trPr>
        <w:tc>
          <w:tcPr>
            <w:tcW w:w="2376" w:type="dxa"/>
            <w:tcBorders>
              <w:top w:val="single" w:sz="4" w:space="0" w:color="auto"/>
              <w:left w:val="nil"/>
              <w:bottom w:val="single" w:sz="4" w:space="0" w:color="auto"/>
              <w:right w:val="nil"/>
            </w:tcBorders>
            <w:vAlign w:val="center"/>
            <w:hideMark/>
          </w:tcPr>
          <w:p w14:paraId="1B93CDA3" w14:textId="77777777" w:rsidR="00031E4A" w:rsidRDefault="00031E4A" w:rsidP="003522CA">
            <w:pPr>
              <w:jc w:val="center"/>
              <w:rPr>
                <w:rFonts w:eastAsia="Times New Roman"/>
                <w:color w:val="000000"/>
                <w:sz w:val="22"/>
                <w:szCs w:val="22"/>
              </w:rPr>
            </w:pPr>
            <w:r>
              <w:rPr>
                <w:rFonts w:eastAsia="Times New Roman"/>
                <w:color w:val="000000"/>
                <w:sz w:val="22"/>
                <w:szCs w:val="22"/>
              </w:rPr>
              <w:t>Adams</w:t>
            </w:r>
          </w:p>
        </w:tc>
        <w:tc>
          <w:tcPr>
            <w:tcW w:w="2180" w:type="dxa"/>
            <w:tcBorders>
              <w:top w:val="single" w:sz="4" w:space="0" w:color="auto"/>
              <w:left w:val="nil"/>
              <w:bottom w:val="single" w:sz="4" w:space="0" w:color="auto"/>
              <w:right w:val="nil"/>
            </w:tcBorders>
            <w:vAlign w:val="center"/>
            <w:hideMark/>
          </w:tcPr>
          <w:p w14:paraId="084D6557" w14:textId="77777777" w:rsidR="00031E4A" w:rsidRDefault="00071E58" w:rsidP="003522CA">
            <w:pPr>
              <w:jc w:val="center"/>
              <w:rPr>
                <w:rFonts w:eastAsia="Times New Roman"/>
                <w:color w:val="000000"/>
                <w:sz w:val="22"/>
                <w:szCs w:val="22"/>
              </w:rPr>
            </w:pPr>
            <w:r>
              <w:rPr>
                <w:rFonts w:eastAsia="Times New Roman"/>
                <w:color w:val="000000"/>
                <w:sz w:val="22"/>
                <w:szCs w:val="22"/>
              </w:rPr>
              <w:t>2.9</w:t>
            </w:r>
            <w:r w:rsidR="00031E4A">
              <w:rPr>
                <w:rFonts w:eastAsia="Times New Roman"/>
                <w:color w:val="000000"/>
                <w:sz w:val="22"/>
                <w:szCs w:val="22"/>
              </w:rPr>
              <w:t>%</w:t>
            </w:r>
          </w:p>
          <w:p w14:paraId="1044950C" w14:textId="1C35702F" w:rsidR="009364AB" w:rsidRDefault="009364AB" w:rsidP="003522CA">
            <w:pPr>
              <w:jc w:val="center"/>
              <w:rPr>
                <w:rFonts w:eastAsia="Times New Roman"/>
                <w:color w:val="000000"/>
                <w:sz w:val="22"/>
                <w:szCs w:val="22"/>
              </w:rPr>
            </w:pPr>
            <w:r>
              <w:rPr>
                <w:rFonts w:eastAsia="Times New Roman"/>
                <w:color w:val="000000"/>
                <w:sz w:val="22"/>
                <w:szCs w:val="22"/>
              </w:rPr>
              <w:t>(+1)</w:t>
            </w:r>
          </w:p>
        </w:tc>
        <w:tc>
          <w:tcPr>
            <w:tcW w:w="2360" w:type="dxa"/>
            <w:tcBorders>
              <w:top w:val="single" w:sz="4" w:space="0" w:color="auto"/>
              <w:left w:val="nil"/>
              <w:bottom w:val="single" w:sz="4" w:space="0" w:color="auto"/>
              <w:right w:val="nil"/>
            </w:tcBorders>
            <w:vAlign w:val="center"/>
            <w:hideMark/>
          </w:tcPr>
          <w:p w14:paraId="3216B4FE" w14:textId="5615B53C" w:rsidR="00031E4A" w:rsidRDefault="00031E4A" w:rsidP="005F3E75">
            <w:pPr>
              <w:jc w:val="center"/>
              <w:rPr>
                <w:rFonts w:eastAsia="Times New Roman"/>
                <w:color w:val="000000"/>
                <w:sz w:val="22"/>
                <w:szCs w:val="22"/>
              </w:rPr>
            </w:pPr>
            <w:r>
              <w:rPr>
                <w:rFonts w:eastAsia="Times New Roman"/>
                <w:color w:val="000000"/>
                <w:sz w:val="22"/>
                <w:szCs w:val="22"/>
              </w:rPr>
              <w:t>$122,</w:t>
            </w:r>
            <w:r w:rsidR="005F3E75">
              <w:rPr>
                <w:rFonts w:eastAsia="Times New Roman"/>
                <w:color w:val="000000"/>
                <w:sz w:val="22"/>
                <w:szCs w:val="22"/>
              </w:rPr>
              <w:t>000</w:t>
            </w:r>
          </w:p>
        </w:tc>
        <w:tc>
          <w:tcPr>
            <w:tcW w:w="1595" w:type="dxa"/>
            <w:tcBorders>
              <w:top w:val="single" w:sz="4" w:space="0" w:color="auto"/>
              <w:left w:val="nil"/>
              <w:bottom w:val="single" w:sz="4" w:space="0" w:color="auto"/>
              <w:right w:val="nil"/>
            </w:tcBorders>
            <w:vAlign w:val="center"/>
          </w:tcPr>
          <w:p w14:paraId="2C2A40A0" w14:textId="09696BA3" w:rsidR="00031E4A" w:rsidRPr="003522CA" w:rsidRDefault="003522CA" w:rsidP="003522CA">
            <w:pPr>
              <w:jc w:val="center"/>
              <w:rPr>
                <w:rFonts w:eastAsia="Times New Roman"/>
                <w:color w:val="000000" w:themeColor="text1"/>
                <w:sz w:val="22"/>
                <w:szCs w:val="22"/>
              </w:rPr>
            </w:pPr>
            <w:r w:rsidRPr="003522CA">
              <w:rPr>
                <w:rFonts w:eastAsia="Times New Roman"/>
                <w:color w:val="000000" w:themeColor="text1"/>
                <w:sz w:val="22"/>
                <w:szCs w:val="22"/>
              </w:rPr>
              <w:t>$62,000</w:t>
            </w:r>
          </w:p>
        </w:tc>
      </w:tr>
      <w:tr w:rsidR="00031E4A" w:rsidRPr="006569BF" w14:paraId="05326D7B" w14:textId="77777777" w:rsidTr="003522CA">
        <w:trPr>
          <w:trHeight w:val="420"/>
        </w:trPr>
        <w:tc>
          <w:tcPr>
            <w:tcW w:w="2376" w:type="dxa"/>
            <w:tcBorders>
              <w:top w:val="single" w:sz="4" w:space="0" w:color="auto"/>
              <w:left w:val="nil"/>
              <w:bottom w:val="single" w:sz="4" w:space="0" w:color="auto"/>
              <w:right w:val="nil"/>
            </w:tcBorders>
            <w:vAlign w:val="center"/>
            <w:hideMark/>
          </w:tcPr>
          <w:p w14:paraId="0DD7D654" w14:textId="77777777" w:rsidR="00031E4A" w:rsidRDefault="00031E4A" w:rsidP="003522CA">
            <w:pPr>
              <w:jc w:val="center"/>
              <w:rPr>
                <w:rFonts w:eastAsia="Times New Roman"/>
                <w:color w:val="000000"/>
                <w:sz w:val="22"/>
                <w:szCs w:val="22"/>
              </w:rPr>
            </w:pPr>
            <w:r>
              <w:rPr>
                <w:rFonts w:eastAsia="Times New Roman"/>
                <w:color w:val="000000"/>
                <w:sz w:val="22"/>
                <w:szCs w:val="22"/>
              </w:rPr>
              <w:t>Payette</w:t>
            </w:r>
          </w:p>
        </w:tc>
        <w:tc>
          <w:tcPr>
            <w:tcW w:w="2180" w:type="dxa"/>
            <w:tcBorders>
              <w:top w:val="single" w:sz="4" w:space="0" w:color="auto"/>
              <w:left w:val="nil"/>
              <w:bottom w:val="single" w:sz="4" w:space="0" w:color="auto"/>
              <w:right w:val="nil"/>
            </w:tcBorders>
            <w:vAlign w:val="center"/>
            <w:hideMark/>
          </w:tcPr>
          <w:p w14:paraId="491D69AE" w14:textId="77777777" w:rsidR="00031E4A" w:rsidRDefault="00071E58" w:rsidP="003522CA">
            <w:pPr>
              <w:jc w:val="center"/>
              <w:rPr>
                <w:rFonts w:eastAsia="Times New Roman"/>
                <w:color w:val="000000"/>
                <w:sz w:val="22"/>
                <w:szCs w:val="22"/>
              </w:rPr>
            </w:pPr>
            <w:r>
              <w:rPr>
                <w:rFonts w:eastAsia="Times New Roman"/>
                <w:color w:val="000000"/>
                <w:sz w:val="22"/>
                <w:szCs w:val="22"/>
              </w:rPr>
              <w:t>2.2</w:t>
            </w:r>
            <w:r w:rsidR="00031E4A">
              <w:rPr>
                <w:rFonts w:eastAsia="Times New Roman"/>
                <w:color w:val="000000"/>
                <w:sz w:val="22"/>
                <w:szCs w:val="22"/>
              </w:rPr>
              <w:t>%</w:t>
            </w:r>
          </w:p>
          <w:p w14:paraId="2C4605BF" w14:textId="086C114E" w:rsidR="009364AB" w:rsidRDefault="009364AB" w:rsidP="003522CA">
            <w:pPr>
              <w:jc w:val="center"/>
              <w:rPr>
                <w:rFonts w:eastAsia="Times New Roman"/>
                <w:color w:val="000000"/>
                <w:sz w:val="22"/>
                <w:szCs w:val="22"/>
              </w:rPr>
            </w:pPr>
            <w:r>
              <w:rPr>
                <w:rFonts w:eastAsia="Times New Roman"/>
                <w:color w:val="000000"/>
                <w:sz w:val="22"/>
                <w:szCs w:val="22"/>
              </w:rPr>
              <w:t>(+2)</w:t>
            </w:r>
          </w:p>
        </w:tc>
        <w:tc>
          <w:tcPr>
            <w:tcW w:w="2360" w:type="dxa"/>
            <w:tcBorders>
              <w:top w:val="single" w:sz="4" w:space="0" w:color="auto"/>
              <w:left w:val="nil"/>
              <w:bottom w:val="single" w:sz="4" w:space="0" w:color="auto"/>
              <w:right w:val="nil"/>
            </w:tcBorders>
            <w:vAlign w:val="center"/>
            <w:hideMark/>
          </w:tcPr>
          <w:p w14:paraId="155730D4" w14:textId="5D05C4B5" w:rsidR="00031E4A" w:rsidRDefault="00031E4A" w:rsidP="005F3E75">
            <w:pPr>
              <w:jc w:val="center"/>
              <w:rPr>
                <w:rFonts w:eastAsia="Times New Roman"/>
                <w:color w:val="000000"/>
                <w:sz w:val="22"/>
                <w:szCs w:val="22"/>
              </w:rPr>
            </w:pPr>
            <w:r>
              <w:rPr>
                <w:rFonts w:eastAsia="Times New Roman"/>
                <w:color w:val="000000"/>
                <w:sz w:val="22"/>
                <w:szCs w:val="22"/>
              </w:rPr>
              <w:t>$503,</w:t>
            </w:r>
            <w:r w:rsidR="005F3E75">
              <w:rPr>
                <w:rFonts w:eastAsia="Times New Roman"/>
                <w:color w:val="000000"/>
                <w:sz w:val="22"/>
                <w:szCs w:val="22"/>
              </w:rPr>
              <w:t>000</w:t>
            </w:r>
          </w:p>
        </w:tc>
        <w:tc>
          <w:tcPr>
            <w:tcW w:w="1595" w:type="dxa"/>
            <w:tcBorders>
              <w:top w:val="single" w:sz="4" w:space="0" w:color="auto"/>
              <w:left w:val="nil"/>
              <w:bottom w:val="single" w:sz="4" w:space="0" w:color="auto"/>
              <w:right w:val="nil"/>
            </w:tcBorders>
            <w:vAlign w:val="center"/>
          </w:tcPr>
          <w:p w14:paraId="4CF8F095" w14:textId="09D6FC11" w:rsidR="00031E4A" w:rsidRPr="003522CA" w:rsidRDefault="003522CA" w:rsidP="003522CA">
            <w:pPr>
              <w:jc w:val="center"/>
              <w:rPr>
                <w:rFonts w:eastAsia="Times New Roman"/>
                <w:color w:val="000000" w:themeColor="text1"/>
                <w:sz w:val="22"/>
                <w:szCs w:val="22"/>
              </w:rPr>
            </w:pPr>
            <w:r w:rsidRPr="003522CA">
              <w:rPr>
                <w:rFonts w:eastAsia="Times New Roman"/>
                <w:color w:val="000000" w:themeColor="text1"/>
                <w:sz w:val="22"/>
                <w:szCs w:val="22"/>
              </w:rPr>
              <w:t>$92,000</w:t>
            </w:r>
          </w:p>
        </w:tc>
      </w:tr>
      <w:tr w:rsidR="00031E4A" w:rsidRPr="006569BF" w14:paraId="0B3F2D3C" w14:textId="77777777" w:rsidTr="003522CA">
        <w:trPr>
          <w:trHeight w:val="420"/>
        </w:trPr>
        <w:tc>
          <w:tcPr>
            <w:tcW w:w="2376" w:type="dxa"/>
            <w:tcBorders>
              <w:top w:val="single" w:sz="4" w:space="0" w:color="auto"/>
              <w:left w:val="nil"/>
              <w:bottom w:val="single" w:sz="4" w:space="0" w:color="auto"/>
              <w:right w:val="nil"/>
            </w:tcBorders>
            <w:vAlign w:val="center"/>
            <w:hideMark/>
          </w:tcPr>
          <w:p w14:paraId="7A9EC9FE" w14:textId="77777777" w:rsidR="00031E4A" w:rsidRDefault="00031E4A" w:rsidP="003522CA">
            <w:pPr>
              <w:jc w:val="center"/>
              <w:rPr>
                <w:rFonts w:eastAsia="Times New Roman"/>
                <w:color w:val="000000"/>
                <w:sz w:val="22"/>
                <w:szCs w:val="22"/>
              </w:rPr>
            </w:pPr>
            <w:r>
              <w:rPr>
                <w:rFonts w:eastAsia="Times New Roman"/>
                <w:color w:val="000000"/>
                <w:sz w:val="22"/>
                <w:szCs w:val="22"/>
              </w:rPr>
              <w:t>Ada</w:t>
            </w:r>
          </w:p>
        </w:tc>
        <w:tc>
          <w:tcPr>
            <w:tcW w:w="2180" w:type="dxa"/>
            <w:tcBorders>
              <w:top w:val="single" w:sz="4" w:space="0" w:color="auto"/>
              <w:left w:val="nil"/>
              <w:bottom w:val="single" w:sz="4" w:space="0" w:color="auto"/>
              <w:right w:val="nil"/>
            </w:tcBorders>
            <w:vAlign w:val="center"/>
            <w:hideMark/>
          </w:tcPr>
          <w:p w14:paraId="56FE4728" w14:textId="77777777" w:rsidR="00031E4A" w:rsidRDefault="003522CA" w:rsidP="003522CA">
            <w:pPr>
              <w:jc w:val="center"/>
              <w:rPr>
                <w:rFonts w:eastAsia="Times New Roman"/>
                <w:color w:val="000000"/>
                <w:sz w:val="22"/>
                <w:szCs w:val="22"/>
              </w:rPr>
            </w:pPr>
            <w:r>
              <w:rPr>
                <w:rFonts w:eastAsia="Times New Roman"/>
                <w:color w:val="000000"/>
                <w:sz w:val="22"/>
                <w:szCs w:val="22"/>
              </w:rPr>
              <w:t>1.5</w:t>
            </w:r>
            <w:r w:rsidR="00031E4A">
              <w:rPr>
                <w:rFonts w:eastAsia="Times New Roman"/>
                <w:color w:val="000000"/>
                <w:sz w:val="22"/>
                <w:szCs w:val="22"/>
              </w:rPr>
              <w:t>%</w:t>
            </w:r>
          </w:p>
          <w:p w14:paraId="38B80BF6" w14:textId="73FCB606" w:rsidR="003522CA" w:rsidRDefault="003522CA" w:rsidP="003522CA">
            <w:pPr>
              <w:jc w:val="center"/>
              <w:rPr>
                <w:rFonts w:eastAsia="Times New Roman"/>
                <w:color w:val="000000"/>
                <w:sz w:val="22"/>
                <w:szCs w:val="22"/>
              </w:rPr>
            </w:pPr>
            <w:r>
              <w:rPr>
                <w:rFonts w:eastAsia="Times New Roman"/>
                <w:color w:val="000000"/>
                <w:sz w:val="22"/>
                <w:szCs w:val="22"/>
              </w:rPr>
              <w:t>(+122)</w:t>
            </w:r>
          </w:p>
        </w:tc>
        <w:tc>
          <w:tcPr>
            <w:tcW w:w="2360" w:type="dxa"/>
            <w:tcBorders>
              <w:top w:val="single" w:sz="4" w:space="0" w:color="auto"/>
              <w:left w:val="nil"/>
              <w:bottom w:val="single" w:sz="4" w:space="0" w:color="auto"/>
              <w:right w:val="nil"/>
            </w:tcBorders>
            <w:vAlign w:val="center"/>
            <w:hideMark/>
          </w:tcPr>
          <w:p w14:paraId="07AFAB6C" w14:textId="20EB2078" w:rsidR="00031E4A" w:rsidRDefault="005F3E75" w:rsidP="005F3E75">
            <w:pPr>
              <w:jc w:val="center"/>
              <w:rPr>
                <w:rFonts w:eastAsia="Times New Roman"/>
                <w:color w:val="000000"/>
                <w:sz w:val="22"/>
                <w:szCs w:val="22"/>
              </w:rPr>
            </w:pPr>
            <w:r>
              <w:rPr>
                <w:rFonts w:eastAsia="Times New Roman"/>
                <w:color w:val="000000"/>
                <w:sz w:val="22"/>
                <w:szCs w:val="22"/>
              </w:rPr>
              <w:t>$31 mil</w:t>
            </w:r>
            <w:r w:rsidR="00811635">
              <w:rPr>
                <w:rFonts w:eastAsia="Times New Roman"/>
                <w:color w:val="000000"/>
                <w:sz w:val="22"/>
                <w:szCs w:val="22"/>
              </w:rPr>
              <w:t>l</w:t>
            </w:r>
            <w:r>
              <w:rPr>
                <w:rFonts w:eastAsia="Times New Roman"/>
                <w:color w:val="000000"/>
                <w:sz w:val="22"/>
                <w:szCs w:val="22"/>
              </w:rPr>
              <w:t>ion</w:t>
            </w:r>
          </w:p>
        </w:tc>
        <w:tc>
          <w:tcPr>
            <w:tcW w:w="1595" w:type="dxa"/>
            <w:tcBorders>
              <w:top w:val="single" w:sz="4" w:space="0" w:color="auto"/>
              <w:left w:val="nil"/>
              <w:bottom w:val="single" w:sz="4" w:space="0" w:color="auto"/>
              <w:right w:val="nil"/>
            </w:tcBorders>
            <w:vAlign w:val="center"/>
          </w:tcPr>
          <w:p w14:paraId="794FF38C" w14:textId="2AB06285" w:rsidR="00031E4A" w:rsidRPr="003522CA" w:rsidRDefault="003522CA" w:rsidP="003522CA">
            <w:pPr>
              <w:jc w:val="center"/>
              <w:rPr>
                <w:rFonts w:eastAsia="Times New Roman"/>
                <w:color w:val="000000" w:themeColor="text1"/>
                <w:sz w:val="22"/>
                <w:szCs w:val="22"/>
              </w:rPr>
            </w:pPr>
            <w:r w:rsidRPr="003522CA">
              <w:rPr>
                <w:rFonts w:eastAsia="Times New Roman"/>
                <w:color w:val="000000" w:themeColor="text1"/>
                <w:sz w:val="22"/>
                <w:szCs w:val="22"/>
              </w:rPr>
              <w:t>$17.5 million</w:t>
            </w:r>
          </w:p>
        </w:tc>
      </w:tr>
      <w:tr w:rsidR="00031E4A" w:rsidRPr="006569BF" w14:paraId="19E40D33" w14:textId="77777777" w:rsidTr="003522CA">
        <w:trPr>
          <w:trHeight w:val="420"/>
        </w:trPr>
        <w:tc>
          <w:tcPr>
            <w:tcW w:w="2376" w:type="dxa"/>
            <w:tcBorders>
              <w:top w:val="single" w:sz="4" w:space="0" w:color="auto"/>
              <w:left w:val="nil"/>
              <w:bottom w:val="single" w:sz="4" w:space="0" w:color="auto"/>
              <w:right w:val="nil"/>
            </w:tcBorders>
            <w:vAlign w:val="center"/>
            <w:hideMark/>
          </w:tcPr>
          <w:p w14:paraId="11B71584" w14:textId="77777777" w:rsidR="00031E4A" w:rsidRDefault="00031E4A" w:rsidP="003522CA">
            <w:pPr>
              <w:jc w:val="center"/>
              <w:rPr>
                <w:rFonts w:eastAsia="Times New Roman"/>
                <w:color w:val="000000"/>
                <w:sz w:val="22"/>
                <w:szCs w:val="22"/>
              </w:rPr>
            </w:pPr>
            <w:r>
              <w:rPr>
                <w:rFonts w:eastAsia="Times New Roman"/>
                <w:color w:val="000000"/>
                <w:sz w:val="22"/>
                <w:szCs w:val="22"/>
              </w:rPr>
              <w:t>Owyhee</w:t>
            </w:r>
          </w:p>
        </w:tc>
        <w:tc>
          <w:tcPr>
            <w:tcW w:w="2180" w:type="dxa"/>
            <w:tcBorders>
              <w:top w:val="single" w:sz="4" w:space="0" w:color="auto"/>
              <w:left w:val="nil"/>
              <w:bottom w:val="single" w:sz="4" w:space="0" w:color="auto"/>
              <w:right w:val="nil"/>
            </w:tcBorders>
            <w:vAlign w:val="center"/>
            <w:hideMark/>
          </w:tcPr>
          <w:p w14:paraId="37C11DB4" w14:textId="40E004FB" w:rsidR="00031E4A" w:rsidRDefault="00031E4A" w:rsidP="003522CA">
            <w:pPr>
              <w:jc w:val="center"/>
              <w:rPr>
                <w:rFonts w:eastAsia="Times New Roman"/>
                <w:color w:val="000000"/>
                <w:sz w:val="22"/>
                <w:szCs w:val="22"/>
              </w:rPr>
            </w:pPr>
            <w:r>
              <w:rPr>
                <w:rFonts w:eastAsia="Times New Roman"/>
                <w:color w:val="000000"/>
                <w:sz w:val="22"/>
                <w:szCs w:val="22"/>
              </w:rPr>
              <w:t>0</w:t>
            </w:r>
          </w:p>
        </w:tc>
        <w:tc>
          <w:tcPr>
            <w:tcW w:w="2360" w:type="dxa"/>
            <w:tcBorders>
              <w:top w:val="single" w:sz="4" w:space="0" w:color="auto"/>
              <w:left w:val="nil"/>
              <w:bottom w:val="single" w:sz="4" w:space="0" w:color="auto"/>
              <w:right w:val="nil"/>
            </w:tcBorders>
            <w:vAlign w:val="center"/>
            <w:hideMark/>
          </w:tcPr>
          <w:p w14:paraId="069D5770" w14:textId="4B4AAA1C" w:rsidR="00031E4A" w:rsidRDefault="00031E4A" w:rsidP="005F3E75">
            <w:pPr>
              <w:jc w:val="center"/>
              <w:rPr>
                <w:rFonts w:eastAsia="Times New Roman"/>
                <w:color w:val="000000"/>
                <w:sz w:val="22"/>
                <w:szCs w:val="22"/>
              </w:rPr>
            </w:pPr>
            <w:r>
              <w:rPr>
                <w:rFonts w:eastAsia="Times New Roman"/>
                <w:color w:val="000000"/>
                <w:sz w:val="22"/>
                <w:szCs w:val="22"/>
              </w:rPr>
              <w:t>$30</w:t>
            </w:r>
            <w:r w:rsidR="005F3E75">
              <w:rPr>
                <w:rFonts w:eastAsia="Times New Roman"/>
                <w:color w:val="000000"/>
                <w:sz w:val="22"/>
                <w:szCs w:val="22"/>
              </w:rPr>
              <w:t>,000</w:t>
            </w:r>
          </w:p>
        </w:tc>
        <w:tc>
          <w:tcPr>
            <w:tcW w:w="1595" w:type="dxa"/>
            <w:tcBorders>
              <w:top w:val="single" w:sz="4" w:space="0" w:color="auto"/>
              <w:left w:val="nil"/>
              <w:bottom w:val="single" w:sz="4" w:space="0" w:color="auto"/>
              <w:right w:val="nil"/>
            </w:tcBorders>
            <w:vAlign w:val="center"/>
          </w:tcPr>
          <w:p w14:paraId="5D301D61" w14:textId="2CBF1E82" w:rsidR="00031E4A" w:rsidRPr="003522CA" w:rsidRDefault="003522CA" w:rsidP="003522CA">
            <w:pPr>
              <w:jc w:val="center"/>
              <w:rPr>
                <w:rFonts w:eastAsia="Times New Roman"/>
                <w:color w:val="000000" w:themeColor="text1"/>
                <w:sz w:val="22"/>
                <w:szCs w:val="22"/>
              </w:rPr>
            </w:pPr>
            <w:r w:rsidRPr="003522CA">
              <w:rPr>
                <w:rFonts w:eastAsia="Times New Roman"/>
                <w:color w:val="000000" w:themeColor="text1"/>
                <w:sz w:val="22"/>
                <w:szCs w:val="22"/>
              </w:rPr>
              <w:t>$22,000</w:t>
            </w:r>
          </w:p>
        </w:tc>
      </w:tr>
      <w:tr w:rsidR="00031E4A" w:rsidRPr="006569BF" w14:paraId="40E3B82B" w14:textId="77777777" w:rsidTr="003522CA">
        <w:trPr>
          <w:trHeight w:val="420"/>
        </w:trPr>
        <w:tc>
          <w:tcPr>
            <w:tcW w:w="2376" w:type="dxa"/>
            <w:tcBorders>
              <w:top w:val="single" w:sz="4" w:space="0" w:color="auto"/>
              <w:left w:val="nil"/>
              <w:bottom w:val="single" w:sz="4" w:space="0" w:color="auto"/>
              <w:right w:val="nil"/>
            </w:tcBorders>
            <w:vAlign w:val="center"/>
            <w:hideMark/>
          </w:tcPr>
          <w:p w14:paraId="5CDB13C6" w14:textId="77777777" w:rsidR="00031E4A" w:rsidRDefault="00031E4A" w:rsidP="003522CA">
            <w:pPr>
              <w:jc w:val="center"/>
              <w:rPr>
                <w:rFonts w:eastAsia="Times New Roman"/>
                <w:color w:val="000000"/>
                <w:sz w:val="22"/>
                <w:szCs w:val="22"/>
              </w:rPr>
            </w:pPr>
            <w:r>
              <w:rPr>
                <w:rFonts w:eastAsia="Times New Roman"/>
                <w:color w:val="000000"/>
                <w:sz w:val="22"/>
                <w:szCs w:val="22"/>
              </w:rPr>
              <w:t>Valley</w:t>
            </w:r>
          </w:p>
        </w:tc>
        <w:tc>
          <w:tcPr>
            <w:tcW w:w="2180" w:type="dxa"/>
            <w:tcBorders>
              <w:top w:val="single" w:sz="4" w:space="0" w:color="auto"/>
              <w:left w:val="nil"/>
              <w:bottom w:val="single" w:sz="4" w:space="0" w:color="auto"/>
              <w:right w:val="nil"/>
            </w:tcBorders>
            <w:vAlign w:val="center"/>
            <w:hideMark/>
          </w:tcPr>
          <w:p w14:paraId="5B928040" w14:textId="6D2BF450" w:rsidR="00031E4A" w:rsidRDefault="00031E4A" w:rsidP="003522CA">
            <w:pPr>
              <w:jc w:val="center"/>
              <w:rPr>
                <w:rFonts w:eastAsia="Times New Roman"/>
                <w:color w:val="000000"/>
                <w:sz w:val="22"/>
                <w:szCs w:val="22"/>
              </w:rPr>
            </w:pPr>
            <w:r>
              <w:rPr>
                <w:rFonts w:eastAsia="Times New Roman"/>
                <w:color w:val="000000"/>
                <w:sz w:val="22"/>
                <w:szCs w:val="22"/>
              </w:rPr>
              <w:t>0</w:t>
            </w:r>
          </w:p>
        </w:tc>
        <w:tc>
          <w:tcPr>
            <w:tcW w:w="2360" w:type="dxa"/>
            <w:tcBorders>
              <w:top w:val="single" w:sz="4" w:space="0" w:color="auto"/>
              <w:left w:val="nil"/>
              <w:bottom w:val="single" w:sz="4" w:space="0" w:color="auto"/>
              <w:right w:val="nil"/>
            </w:tcBorders>
            <w:vAlign w:val="center"/>
            <w:hideMark/>
          </w:tcPr>
          <w:p w14:paraId="1E4EF19E" w14:textId="09354446" w:rsidR="00031E4A" w:rsidRDefault="00031E4A" w:rsidP="005F3E75">
            <w:pPr>
              <w:jc w:val="center"/>
              <w:rPr>
                <w:rFonts w:eastAsia="Times New Roman"/>
                <w:color w:val="000000"/>
                <w:sz w:val="22"/>
                <w:szCs w:val="22"/>
              </w:rPr>
            </w:pPr>
            <w:r>
              <w:rPr>
                <w:rFonts w:eastAsia="Times New Roman"/>
                <w:color w:val="000000"/>
                <w:sz w:val="22"/>
                <w:szCs w:val="22"/>
              </w:rPr>
              <w:t>$72</w:t>
            </w:r>
            <w:r w:rsidR="005F3E75">
              <w:rPr>
                <w:rFonts w:eastAsia="Times New Roman"/>
                <w:color w:val="000000"/>
                <w:sz w:val="22"/>
                <w:szCs w:val="22"/>
              </w:rPr>
              <w:t>4,000</w:t>
            </w:r>
          </w:p>
        </w:tc>
        <w:tc>
          <w:tcPr>
            <w:tcW w:w="1595" w:type="dxa"/>
            <w:tcBorders>
              <w:top w:val="single" w:sz="4" w:space="0" w:color="auto"/>
              <w:left w:val="nil"/>
              <w:bottom w:val="single" w:sz="4" w:space="0" w:color="auto"/>
              <w:right w:val="nil"/>
            </w:tcBorders>
            <w:vAlign w:val="center"/>
          </w:tcPr>
          <w:p w14:paraId="5597F01F" w14:textId="3F052BBA" w:rsidR="00031E4A" w:rsidRPr="003522CA" w:rsidRDefault="003522CA" w:rsidP="003522CA">
            <w:pPr>
              <w:jc w:val="center"/>
              <w:rPr>
                <w:rFonts w:eastAsia="Times New Roman"/>
                <w:color w:val="000000" w:themeColor="text1"/>
                <w:sz w:val="22"/>
                <w:szCs w:val="22"/>
              </w:rPr>
            </w:pPr>
            <w:r w:rsidRPr="003522CA">
              <w:rPr>
                <w:rFonts w:eastAsia="Times New Roman"/>
                <w:color w:val="000000" w:themeColor="text1"/>
                <w:sz w:val="22"/>
                <w:szCs w:val="22"/>
              </w:rPr>
              <w:t>$212,000</w:t>
            </w:r>
          </w:p>
        </w:tc>
      </w:tr>
      <w:tr w:rsidR="00031E4A" w:rsidRPr="006569BF" w14:paraId="574A9B89" w14:textId="77777777" w:rsidTr="003522CA">
        <w:trPr>
          <w:trHeight w:val="420"/>
        </w:trPr>
        <w:tc>
          <w:tcPr>
            <w:tcW w:w="2376" w:type="dxa"/>
            <w:tcBorders>
              <w:top w:val="single" w:sz="4" w:space="0" w:color="auto"/>
              <w:left w:val="nil"/>
              <w:bottom w:val="single" w:sz="4" w:space="0" w:color="auto"/>
              <w:right w:val="nil"/>
            </w:tcBorders>
            <w:vAlign w:val="center"/>
            <w:hideMark/>
          </w:tcPr>
          <w:p w14:paraId="7B1D1A77" w14:textId="77777777" w:rsidR="00031E4A" w:rsidRDefault="00031E4A" w:rsidP="003522CA">
            <w:pPr>
              <w:jc w:val="center"/>
              <w:rPr>
                <w:rFonts w:eastAsia="Times New Roman"/>
                <w:color w:val="000000"/>
                <w:sz w:val="22"/>
                <w:szCs w:val="22"/>
              </w:rPr>
            </w:pPr>
            <w:r>
              <w:rPr>
                <w:rFonts w:eastAsia="Times New Roman"/>
                <w:color w:val="000000"/>
                <w:sz w:val="22"/>
                <w:szCs w:val="22"/>
              </w:rPr>
              <w:t>Gem</w:t>
            </w:r>
          </w:p>
        </w:tc>
        <w:tc>
          <w:tcPr>
            <w:tcW w:w="2180" w:type="dxa"/>
            <w:tcBorders>
              <w:top w:val="single" w:sz="4" w:space="0" w:color="auto"/>
              <w:left w:val="nil"/>
              <w:bottom w:val="single" w:sz="4" w:space="0" w:color="auto"/>
              <w:right w:val="nil"/>
            </w:tcBorders>
            <w:vAlign w:val="center"/>
            <w:hideMark/>
          </w:tcPr>
          <w:p w14:paraId="4A4886D1" w14:textId="56E64AA7" w:rsidR="00031E4A" w:rsidRDefault="003522CA" w:rsidP="003522CA">
            <w:pPr>
              <w:jc w:val="center"/>
              <w:rPr>
                <w:rFonts w:eastAsia="Times New Roman"/>
                <w:color w:val="C00000"/>
                <w:sz w:val="22"/>
                <w:szCs w:val="22"/>
              </w:rPr>
            </w:pPr>
            <w:r>
              <w:rPr>
                <w:rFonts w:eastAsia="Times New Roman"/>
                <w:color w:val="C00000"/>
                <w:sz w:val="22"/>
                <w:szCs w:val="22"/>
              </w:rPr>
              <w:t>-1.5</w:t>
            </w:r>
            <w:r w:rsidR="00031E4A">
              <w:rPr>
                <w:rFonts w:eastAsia="Times New Roman"/>
                <w:color w:val="C00000"/>
                <w:sz w:val="22"/>
                <w:szCs w:val="22"/>
              </w:rPr>
              <w:t>%</w:t>
            </w:r>
          </w:p>
          <w:p w14:paraId="268D470F" w14:textId="5B68CD2D" w:rsidR="003522CA" w:rsidRDefault="003522CA" w:rsidP="003522CA">
            <w:pPr>
              <w:jc w:val="center"/>
              <w:rPr>
                <w:rFonts w:eastAsia="Times New Roman"/>
                <w:color w:val="C00000"/>
                <w:sz w:val="22"/>
                <w:szCs w:val="22"/>
              </w:rPr>
            </w:pPr>
            <w:r>
              <w:rPr>
                <w:rFonts w:eastAsia="Times New Roman"/>
                <w:color w:val="C00000"/>
                <w:sz w:val="22"/>
                <w:szCs w:val="22"/>
              </w:rPr>
              <w:t>(-1)</w:t>
            </w:r>
          </w:p>
        </w:tc>
        <w:tc>
          <w:tcPr>
            <w:tcW w:w="2360" w:type="dxa"/>
            <w:tcBorders>
              <w:top w:val="single" w:sz="4" w:space="0" w:color="auto"/>
              <w:left w:val="nil"/>
              <w:bottom w:val="single" w:sz="4" w:space="0" w:color="auto"/>
              <w:right w:val="nil"/>
            </w:tcBorders>
            <w:vAlign w:val="center"/>
            <w:hideMark/>
          </w:tcPr>
          <w:p w14:paraId="14EBDFCC" w14:textId="2E40E444" w:rsidR="00031E4A" w:rsidRDefault="00031E4A" w:rsidP="005F3E75">
            <w:pPr>
              <w:jc w:val="center"/>
              <w:rPr>
                <w:rFonts w:eastAsia="Times New Roman"/>
                <w:color w:val="000000"/>
                <w:sz w:val="22"/>
                <w:szCs w:val="22"/>
              </w:rPr>
            </w:pPr>
            <w:r>
              <w:rPr>
                <w:rFonts w:eastAsia="Times New Roman"/>
                <w:color w:val="000000"/>
                <w:sz w:val="22"/>
                <w:szCs w:val="22"/>
              </w:rPr>
              <w:t>$18</w:t>
            </w:r>
            <w:r w:rsidR="005F3E75">
              <w:rPr>
                <w:rFonts w:eastAsia="Times New Roman"/>
                <w:color w:val="000000"/>
                <w:sz w:val="22"/>
                <w:szCs w:val="22"/>
              </w:rPr>
              <w:t>3,000</w:t>
            </w:r>
          </w:p>
        </w:tc>
        <w:tc>
          <w:tcPr>
            <w:tcW w:w="1595" w:type="dxa"/>
            <w:tcBorders>
              <w:top w:val="single" w:sz="4" w:space="0" w:color="auto"/>
              <w:left w:val="nil"/>
              <w:bottom w:val="single" w:sz="4" w:space="0" w:color="auto"/>
              <w:right w:val="nil"/>
            </w:tcBorders>
            <w:vAlign w:val="center"/>
          </w:tcPr>
          <w:p w14:paraId="37F54451" w14:textId="626585C2" w:rsidR="00031E4A" w:rsidRPr="003522CA" w:rsidRDefault="003522CA" w:rsidP="003522CA">
            <w:pPr>
              <w:jc w:val="center"/>
              <w:rPr>
                <w:rFonts w:eastAsia="Times New Roman"/>
                <w:color w:val="000000" w:themeColor="text1"/>
                <w:sz w:val="22"/>
                <w:szCs w:val="22"/>
              </w:rPr>
            </w:pPr>
            <w:r w:rsidRPr="003522CA">
              <w:rPr>
                <w:rFonts w:eastAsia="Times New Roman"/>
                <w:color w:val="000000" w:themeColor="text1"/>
                <w:sz w:val="22"/>
                <w:szCs w:val="22"/>
              </w:rPr>
              <w:t>$117,000</w:t>
            </w:r>
          </w:p>
        </w:tc>
      </w:tr>
      <w:tr w:rsidR="00031E4A" w:rsidRPr="006569BF" w14:paraId="4410362A" w14:textId="77777777" w:rsidTr="003522CA">
        <w:trPr>
          <w:trHeight w:val="420"/>
        </w:trPr>
        <w:tc>
          <w:tcPr>
            <w:tcW w:w="2376" w:type="dxa"/>
            <w:tcBorders>
              <w:top w:val="single" w:sz="4" w:space="0" w:color="auto"/>
              <w:left w:val="nil"/>
              <w:bottom w:val="single" w:sz="4" w:space="0" w:color="auto"/>
              <w:right w:val="nil"/>
            </w:tcBorders>
            <w:vAlign w:val="center"/>
            <w:hideMark/>
          </w:tcPr>
          <w:p w14:paraId="643DB4E1" w14:textId="77777777" w:rsidR="00031E4A" w:rsidRDefault="00031E4A" w:rsidP="003522CA">
            <w:pPr>
              <w:jc w:val="center"/>
              <w:rPr>
                <w:rFonts w:eastAsia="Times New Roman"/>
                <w:color w:val="000000"/>
                <w:sz w:val="22"/>
                <w:szCs w:val="22"/>
              </w:rPr>
            </w:pPr>
            <w:r>
              <w:rPr>
                <w:rFonts w:eastAsia="Times New Roman"/>
                <w:color w:val="000000"/>
                <w:sz w:val="22"/>
                <w:szCs w:val="22"/>
              </w:rPr>
              <w:t>Washington</w:t>
            </w:r>
          </w:p>
        </w:tc>
        <w:tc>
          <w:tcPr>
            <w:tcW w:w="2180" w:type="dxa"/>
            <w:tcBorders>
              <w:top w:val="single" w:sz="4" w:space="0" w:color="auto"/>
              <w:left w:val="nil"/>
              <w:bottom w:val="single" w:sz="4" w:space="0" w:color="auto"/>
              <w:right w:val="nil"/>
            </w:tcBorders>
            <w:vAlign w:val="center"/>
            <w:hideMark/>
          </w:tcPr>
          <w:p w14:paraId="5E941B9A" w14:textId="10073F33" w:rsidR="00031E4A" w:rsidRDefault="00031E4A" w:rsidP="003522CA">
            <w:pPr>
              <w:jc w:val="center"/>
              <w:rPr>
                <w:rFonts w:eastAsia="Times New Roman"/>
                <w:color w:val="C00000"/>
                <w:sz w:val="22"/>
                <w:szCs w:val="22"/>
              </w:rPr>
            </w:pPr>
            <w:r>
              <w:rPr>
                <w:rFonts w:eastAsia="Times New Roman"/>
                <w:color w:val="C00000"/>
                <w:sz w:val="22"/>
                <w:szCs w:val="22"/>
              </w:rPr>
              <w:t>-2.</w:t>
            </w:r>
            <w:r w:rsidR="003522CA">
              <w:rPr>
                <w:rFonts w:eastAsia="Times New Roman"/>
                <w:color w:val="C00000"/>
                <w:sz w:val="22"/>
                <w:szCs w:val="22"/>
              </w:rPr>
              <w:t>9</w:t>
            </w:r>
            <w:r>
              <w:rPr>
                <w:rFonts w:eastAsia="Times New Roman"/>
                <w:color w:val="C00000"/>
                <w:sz w:val="22"/>
                <w:szCs w:val="22"/>
              </w:rPr>
              <w:t>%</w:t>
            </w:r>
          </w:p>
          <w:p w14:paraId="2E50FAF9" w14:textId="72F3BE21" w:rsidR="003522CA" w:rsidRDefault="003522CA" w:rsidP="003522CA">
            <w:pPr>
              <w:jc w:val="center"/>
              <w:rPr>
                <w:rFonts w:eastAsia="Times New Roman"/>
                <w:color w:val="C00000"/>
                <w:sz w:val="22"/>
                <w:szCs w:val="22"/>
              </w:rPr>
            </w:pPr>
            <w:r>
              <w:rPr>
                <w:rFonts w:eastAsia="Times New Roman"/>
                <w:color w:val="C00000"/>
                <w:sz w:val="22"/>
                <w:szCs w:val="22"/>
              </w:rPr>
              <w:t>(-1)</w:t>
            </w:r>
          </w:p>
        </w:tc>
        <w:tc>
          <w:tcPr>
            <w:tcW w:w="2360" w:type="dxa"/>
            <w:tcBorders>
              <w:top w:val="single" w:sz="4" w:space="0" w:color="auto"/>
              <w:left w:val="nil"/>
              <w:bottom w:val="single" w:sz="4" w:space="0" w:color="auto"/>
              <w:right w:val="nil"/>
            </w:tcBorders>
            <w:vAlign w:val="center"/>
            <w:hideMark/>
          </w:tcPr>
          <w:p w14:paraId="73B8F720" w14:textId="2F04BD0E" w:rsidR="00031E4A" w:rsidRDefault="00031E4A" w:rsidP="005F3E75">
            <w:pPr>
              <w:jc w:val="center"/>
              <w:rPr>
                <w:rFonts w:eastAsia="Times New Roman"/>
                <w:color w:val="000000"/>
                <w:sz w:val="22"/>
                <w:szCs w:val="22"/>
              </w:rPr>
            </w:pPr>
            <w:r>
              <w:rPr>
                <w:rFonts w:eastAsia="Times New Roman"/>
                <w:color w:val="DD0806"/>
                <w:sz w:val="22"/>
                <w:szCs w:val="22"/>
              </w:rPr>
              <w:t>($13,</w:t>
            </w:r>
            <w:r w:rsidR="005F3E75">
              <w:rPr>
                <w:rFonts w:eastAsia="Times New Roman"/>
                <w:color w:val="DD0806"/>
                <w:sz w:val="22"/>
                <w:szCs w:val="22"/>
              </w:rPr>
              <w:t>000</w:t>
            </w:r>
            <w:r>
              <w:rPr>
                <w:rFonts w:eastAsia="Times New Roman"/>
                <w:color w:val="DD0806"/>
                <w:sz w:val="22"/>
                <w:szCs w:val="22"/>
              </w:rPr>
              <w:t>)</w:t>
            </w:r>
          </w:p>
        </w:tc>
        <w:tc>
          <w:tcPr>
            <w:tcW w:w="1595" w:type="dxa"/>
            <w:tcBorders>
              <w:top w:val="single" w:sz="4" w:space="0" w:color="auto"/>
              <w:left w:val="nil"/>
              <w:bottom w:val="single" w:sz="4" w:space="0" w:color="auto"/>
              <w:right w:val="nil"/>
            </w:tcBorders>
            <w:vAlign w:val="center"/>
          </w:tcPr>
          <w:p w14:paraId="19ED6A35" w14:textId="25419B92" w:rsidR="00031E4A" w:rsidRPr="003522CA" w:rsidRDefault="003522CA" w:rsidP="003522CA">
            <w:pPr>
              <w:jc w:val="center"/>
              <w:rPr>
                <w:rFonts w:eastAsia="Times New Roman"/>
                <w:color w:val="000000" w:themeColor="text1"/>
                <w:sz w:val="22"/>
                <w:szCs w:val="22"/>
              </w:rPr>
            </w:pPr>
            <w:r w:rsidRPr="003522CA">
              <w:rPr>
                <w:rFonts w:eastAsia="Times New Roman"/>
                <w:color w:val="000000" w:themeColor="text1"/>
                <w:sz w:val="22"/>
                <w:szCs w:val="22"/>
              </w:rPr>
              <w:t>$61,000</w:t>
            </w:r>
          </w:p>
        </w:tc>
      </w:tr>
      <w:tr w:rsidR="00031E4A" w:rsidRPr="006569BF" w14:paraId="4D2ABA98" w14:textId="77777777" w:rsidTr="003522CA">
        <w:trPr>
          <w:trHeight w:val="420"/>
        </w:trPr>
        <w:tc>
          <w:tcPr>
            <w:tcW w:w="2376" w:type="dxa"/>
            <w:tcBorders>
              <w:top w:val="single" w:sz="4" w:space="0" w:color="auto"/>
              <w:left w:val="nil"/>
              <w:bottom w:val="single" w:sz="4" w:space="0" w:color="auto"/>
              <w:right w:val="nil"/>
            </w:tcBorders>
            <w:vAlign w:val="center"/>
            <w:hideMark/>
          </w:tcPr>
          <w:p w14:paraId="3CFACAF7" w14:textId="77777777" w:rsidR="00031E4A" w:rsidRDefault="00031E4A" w:rsidP="003522CA">
            <w:pPr>
              <w:jc w:val="center"/>
              <w:rPr>
                <w:rFonts w:eastAsia="Times New Roman"/>
                <w:color w:val="000000"/>
                <w:sz w:val="22"/>
                <w:szCs w:val="22"/>
              </w:rPr>
            </w:pPr>
            <w:r>
              <w:rPr>
                <w:rFonts w:eastAsia="Times New Roman"/>
                <w:color w:val="000000"/>
                <w:sz w:val="22"/>
                <w:szCs w:val="22"/>
              </w:rPr>
              <w:t>Elmore</w:t>
            </w:r>
          </w:p>
        </w:tc>
        <w:tc>
          <w:tcPr>
            <w:tcW w:w="2180" w:type="dxa"/>
            <w:tcBorders>
              <w:top w:val="single" w:sz="4" w:space="0" w:color="auto"/>
              <w:left w:val="nil"/>
              <w:bottom w:val="single" w:sz="4" w:space="0" w:color="auto"/>
              <w:right w:val="nil"/>
            </w:tcBorders>
            <w:vAlign w:val="center"/>
            <w:hideMark/>
          </w:tcPr>
          <w:p w14:paraId="0BD1FA5E" w14:textId="66C2C663" w:rsidR="00031E4A" w:rsidRDefault="00031E4A" w:rsidP="003522CA">
            <w:pPr>
              <w:jc w:val="center"/>
              <w:rPr>
                <w:rFonts w:eastAsia="Times New Roman"/>
                <w:color w:val="C00000"/>
                <w:sz w:val="22"/>
                <w:szCs w:val="22"/>
              </w:rPr>
            </w:pPr>
            <w:r>
              <w:rPr>
                <w:rFonts w:eastAsia="Times New Roman"/>
                <w:color w:val="C00000"/>
                <w:sz w:val="22"/>
                <w:szCs w:val="22"/>
              </w:rPr>
              <w:t>-6.</w:t>
            </w:r>
            <w:r w:rsidR="003522CA">
              <w:rPr>
                <w:rFonts w:eastAsia="Times New Roman"/>
                <w:color w:val="C00000"/>
                <w:sz w:val="22"/>
                <w:szCs w:val="22"/>
              </w:rPr>
              <w:t>7</w:t>
            </w:r>
            <w:r>
              <w:rPr>
                <w:rFonts w:eastAsia="Times New Roman"/>
                <w:color w:val="C00000"/>
                <w:sz w:val="22"/>
                <w:szCs w:val="22"/>
              </w:rPr>
              <w:t>%</w:t>
            </w:r>
          </w:p>
          <w:p w14:paraId="7C493A2C" w14:textId="117E9DBA" w:rsidR="003522CA" w:rsidRDefault="003522CA" w:rsidP="003522CA">
            <w:pPr>
              <w:jc w:val="center"/>
              <w:rPr>
                <w:rFonts w:eastAsia="Times New Roman"/>
                <w:color w:val="C00000"/>
                <w:sz w:val="22"/>
                <w:szCs w:val="22"/>
              </w:rPr>
            </w:pPr>
            <w:r>
              <w:rPr>
                <w:rFonts w:eastAsia="Times New Roman"/>
                <w:color w:val="C00000"/>
                <w:sz w:val="22"/>
                <w:szCs w:val="22"/>
              </w:rPr>
              <w:t>(-4)</w:t>
            </w:r>
          </w:p>
        </w:tc>
        <w:tc>
          <w:tcPr>
            <w:tcW w:w="2360" w:type="dxa"/>
            <w:tcBorders>
              <w:top w:val="single" w:sz="4" w:space="0" w:color="auto"/>
              <w:left w:val="nil"/>
              <w:bottom w:val="single" w:sz="4" w:space="0" w:color="auto"/>
              <w:right w:val="nil"/>
            </w:tcBorders>
            <w:vAlign w:val="center"/>
            <w:hideMark/>
          </w:tcPr>
          <w:p w14:paraId="20499F06" w14:textId="4A46E9B3" w:rsidR="00031E4A" w:rsidRDefault="00031E4A" w:rsidP="005F3E75">
            <w:pPr>
              <w:jc w:val="center"/>
              <w:rPr>
                <w:rFonts w:eastAsia="Times New Roman"/>
                <w:color w:val="000000"/>
                <w:sz w:val="22"/>
                <w:szCs w:val="22"/>
              </w:rPr>
            </w:pPr>
            <w:r>
              <w:rPr>
                <w:rFonts w:eastAsia="Times New Roman"/>
                <w:color w:val="000000"/>
                <w:sz w:val="22"/>
                <w:szCs w:val="22"/>
              </w:rPr>
              <w:t>$1</w:t>
            </w:r>
            <w:r w:rsidR="005F3E75">
              <w:rPr>
                <w:rFonts w:eastAsia="Times New Roman"/>
                <w:color w:val="000000"/>
                <w:sz w:val="22"/>
                <w:szCs w:val="22"/>
              </w:rPr>
              <w:t>2,000</w:t>
            </w:r>
          </w:p>
        </w:tc>
        <w:tc>
          <w:tcPr>
            <w:tcW w:w="1595" w:type="dxa"/>
            <w:tcBorders>
              <w:top w:val="single" w:sz="4" w:space="0" w:color="auto"/>
              <w:left w:val="nil"/>
              <w:bottom w:val="single" w:sz="4" w:space="0" w:color="auto"/>
              <w:right w:val="nil"/>
            </w:tcBorders>
            <w:vAlign w:val="center"/>
          </w:tcPr>
          <w:p w14:paraId="43667887" w14:textId="6F603C30" w:rsidR="00031E4A" w:rsidRPr="003522CA" w:rsidRDefault="003522CA" w:rsidP="003522CA">
            <w:pPr>
              <w:jc w:val="center"/>
              <w:rPr>
                <w:rFonts w:eastAsia="Times New Roman"/>
                <w:color w:val="000000" w:themeColor="text1"/>
                <w:sz w:val="22"/>
                <w:szCs w:val="22"/>
              </w:rPr>
            </w:pPr>
            <w:r w:rsidRPr="003522CA">
              <w:rPr>
                <w:rFonts w:eastAsia="Times New Roman"/>
                <w:color w:val="000000" w:themeColor="text1"/>
                <w:sz w:val="22"/>
                <w:szCs w:val="22"/>
              </w:rPr>
              <w:t>$94,000</w:t>
            </w:r>
          </w:p>
        </w:tc>
      </w:tr>
      <w:tr w:rsidR="00031E4A" w:rsidRPr="006569BF" w14:paraId="4989CE1C" w14:textId="77777777" w:rsidTr="003522CA">
        <w:trPr>
          <w:trHeight w:val="575"/>
        </w:trPr>
        <w:tc>
          <w:tcPr>
            <w:tcW w:w="2376" w:type="dxa"/>
            <w:tcBorders>
              <w:top w:val="single" w:sz="4" w:space="0" w:color="auto"/>
              <w:left w:val="nil"/>
              <w:bottom w:val="nil"/>
              <w:right w:val="nil"/>
            </w:tcBorders>
            <w:noWrap/>
            <w:vAlign w:val="center"/>
            <w:hideMark/>
          </w:tcPr>
          <w:p w14:paraId="7B45341A" w14:textId="77777777" w:rsidR="00031E4A" w:rsidRDefault="00031E4A" w:rsidP="003522CA">
            <w:pPr>
              <w:jc w:val="center"/>
              <w:rPr>
                <w:rFonts w:eastAsia="Times New Roman"/>
                <w:b/>
                <w:color w:val="000000"/>
                <w:sz w:val="22"/>
                <w:szCs w:val="22"/>
              </w:rPr>
            </w:pPr>
            <w:r>
              <w:rPr>
                <w:rFonts w:eastAsia="Times New Roman"/>
                <w:b/>
                <w:color w:val="000000"/>
                <w:sz w:val="22"/>
                <w:szCs w:val="22"/>
              </w:rPr>
              <w:t>Southwest Idaho Region</w:t>
            </w:r>
          </w:p>
        </w:tc>
        <w:tc>
          <w:tcPr>
            <w:tcW w:w="2180" w:type="dxa"/>
            <w:tcBorders>
              <w:top w:val="single" w:sz="4" w:space="0" w:color="auto"/>
              <w:left w:val="nil"/>
              <w:bottom w:val="nil"/>
              <w:right w:val="nil"/>
            </w:tcBorders>
            <w:vAlign w:val="center"/>
            <w:hideMark/>
          </w:tcPr>
          <w:p w14:paraId="28ECD650" w14:textId="4C5237CF" w:rsidR="00031E4A" w:rsidRDefault="00031E4A" w:rsidP="003522CA">
            <w:pPr>
              <w:jc w:val="center"/>
              <w:rPr>
                <w:rFonts w:eastAsia="Times New Roman"/>
                <w:b/>
                <w:color w:val="000000"/>
                <w:sz w:val="22"/>
                <w:szCs w:val="22"/>
              </w:rPr>
            </w:pPr>
            <w:r>
              <w:rPr>
                <w:rFonts w:eastAsia="Times New Roman"/>
                <w:b/>
                <w:color w:val="000000"/>
                <w:sz w:val="22"/>
                <w:szCs w:val="22"/>
              </w:rPr>
              <w:t>1.5</w:t>
            </w:r>
            <w:r w:rsidR="00675558">
              <w:rPr>
                <w:rFonts w:eastAsia="Times New Roman"/>
                <w:b/>
                <w:color w:val="000000"/>
                <w:sz w:val="22"/>
                <w:szCs w:val="22"/>
              </w:rPr>
              <w:t>4</w:t>
            </w:r>
            <w:r>
              <w:rPr>
                <w:rFonts w:eastAsia="Times New Roman"/>
                <w:b/>
                <w:color w:val="000000"/>
                <w:sz w:val="22"/>
                <w:szCs w:val="22"/>
              </w:rPr>
              <w:t>%</w:t>
            </w:r>
          </w:p>
        </w:tc>
        <w:tc>
          <w:tcPr>
            <w:tcW w:w="2360" w:type="dxa"/>
            <w:tcBorders>
              <w:top w:val="single" w:sz="4" w:space="0" w:color="auto"/>
              <w:left w:val="nil"/>
              <w:bottom w:val="nil"/>
              <w:right w:val="nil"/>
            </w:tcBorders>
            <w:noWrap/>
            <w:vAlign w:val="center"/>
            <w:hideMark/>
          </w:tcPr>
          <w:p w14:paraId="20E6811F" w14:textId="5CE5F96F" w:rsidR="00031E4A" w:rsidRDefault="00031E4A" w:rsidP="005F3E75">
            <w:pPr>
              <w:jc w:val="center"/>
              <w:rPr>
                <w:rFonts w:eastAsia="Times New Roman"/>
                <w:color w:val="000000"/>
                <w:sz w:val="22"/>
                <w:szCs w:val="22"/>
              </w:rPr>
            </w:pPr>
            <w:r>
              <w:rPr>
                <w:rFonts w:eastAsia="Times New Roman"/>
                <w:b/>
                <w:bCs/>
                <w:color w:val="000000"/>
                <w:sz w:val="22"/>
                <w:szCs w:val="22"/>
              </w:rPr>
              <w:t>$</w:t>
            </w:r>
            <w:r w:rsidR="005F3E75">
              <w:rPr>
                <w:rFonts w:eastAsia="Times New Roman"/>
                <w:b/>
                <w:bCs/>
                <w:color w:val="000000"/>
                <w:sz w:val="22"/>
                <w:szCs w:val="22"/>
              </w:rPr>
              <w:t>35 million</w:t>
            </w:r>
          </w:p>
        </w:tc>
        <w:tc>
          <w:tcPr>
            <w:tcW w:w="1595" w:type="dxa"/>
            <w:tcBorders>
              <w:top w:val="single" w:sz="4" w:space="0" w:color="auto"/>
              <w:left w:val="nil"/>
              <w:bottom w:val="nil"/>
              <w:right w:val="nil"/>
            </w:tcBorders>
            <w:vAlign w:val="center"/>
          </w:tcPr>
          <w:p w14:paraId="45F455BB" w14:textId="33B34D4B" w:rsidR="00031E4A" w:rsidRPr="006569BF" w:rsidRDefault="006569BF" w:rsidP="003522CA">
            <w:pPr>
              <w:jc w:val="center"/>
              <w:rPr>
                <w:rFonts w:eastAsia="Times New Roman"/>
                <w:b/>
                <w:bCs/>
                <w:color w:val="000000"/>
                <w:sz w:val="22"/>
                <w:szCs w:val="22"/>
              </w:rPr>
            </w:pPr>
            <w:r>
              <w:rPr>
                <w:rFonts w:eastAsia="Times New Roman"/>
                <w:b/>
                <w:bCs/>
                <w:color w:val="000000"/>
                <w:sz w:val="22"/>
                <w:szCs w:val="22"/>
              </w:rPr>
              <w:t>$</w:t>
            </w:r>
            <w:r w:rsidR="003522CA">
              <w:rPr>
                <w:rFonts w:eastAsia="Times New Roman"/>
                <w:b/>
                <w:bCs/>
                <w:color w:val="000000"/>
                <w:sz w:val="22"/>
                <w:szCs w:val="22"/>
              </w:rPr>
              <w:t>19.7 million</w:t>
            </w:r>
          </w:p>
        </w:tc>
      </w:tr>
    </w:tbl>
    <w:p w14:paraId="46B4E695" w14:textId="77777777" w:rsidR="00031E4A" w:rsidRDefault="00031E4A" w:rsidP="00031E4A">
      <w:pPr>
        <w:rPr>
          <w:b/>
          <w:color w:val="000000" w:themeColor="text1"/>
          <w:szCs w:val="22"/>
        </w:rPr>
      </w:pPr>
    </w:p>
    <w:p w14:paraId="3319DFB9" w14:textId="40384E12" w:rsidR="00E83009" w:rsidRPr="00A2154B" w:rsidRDefault="00E83009" w:rsidP="00E83009">
      <w:pPr>
        <w:rPr>
          <w:b/>
          <w:bCs/>
          <w:color w:val="000000" w:themeColor="text1"/>
          <w:sz w:val="22"/>
          <w:szCs w:val="22"/>
        </w:rPr>
      </w:pPr>
      <w:r w:rsidRPr="00A2154B">
        <w:rPr>
          <w:b/>
          <w:color w:val="000000" w:themeColor="text1"/>
          <w:sz w:val="22"/>
          <w:szCs w:val="22"/>
        </w:rPr>
        <w:t xml:space="preserve">Note: </w:t>
      </w:r>
      <w:r w:rsidRPr="00A2154B">
        <w:rPr>
          <w:color w:val="000000" w:themeColor="text1"/>
          <w:sz w:val="22"/>
          <w:szCs w:val="22"/>
        </w:rPr>
        <w:t>Reduction in account ownership or savings may be a result of account owners using funds for qualified higher education expenses or closing the accounts.</w:t>
      </w:r>
      <w:r w:rsidRPr="00A2154B">
        <w:rPr>
          <w:b/>
          <w:color w:val="000000" w:themeColor="text1"/>
          <w:sz w:val="22"/>
          <w:szCs w:val="22"/>
        </w:rPr>
        <w:t xml:space="preserve"> </w:t>
      </w:r>
      <w:r w:rsidRPr="00A2154B">
        <w:rPr>
          <w:color w:val="000000" w:themeColor="text1"/>
          <w:sz w:val="22"/>
          <w:szCs w:val="22"/>
        </w:rPr>
        <w:t>Numbers reported here are rounded.</w:t>
      </w:r>
      <w:r w:rsidRPr="00A2154B">
        <w:rPr>
          <w:b/>
          <w:color w:val="000000" w:themeColor="text1"/>
          <w:sz w:val="22"/>
          <w:szCs w:val="22"/>
        </w:rPr>
        <w:t xml:space="preserve"> </w:t>
      </w:r>
      <w:r w:rsidR="00034AED" w:rsidRPr="00A2154B">
        <w:rPr>
          <w:color w:val="000000" w:themeColor="text1"/>
          <w:sz w:val="22"/>
          <w:szCs w:val="22"/>
        </w:rPr>
        <w:t xml:space="preserve">Data reported in this report compares 9/30/2016 to 9/30/2017. </w:t>
      </w:r>
      <w:r w:rsidRPr="00A2154B">
        <w:rPr>
          <w:b/>
          <w:color w:val="000000" w:themeColor="text1"/>
          <w:sz w:val="22"/>
          <w:szCs w:val="22"/>
        </w:rPr>
        <w:br w:type="page"/>
      </w:r>
    </w:p>
    <w:p w14:paraId="7492320E" w14:textId="77777777" w:rsidR="00C21553" w:rsidRDefault="00C21553" w:rsidP="00031E4A">
      <w:pPr>
        <w:shd w:val="clear" w:color="auto" w:fill="FFFFFF"/>
        <w:spacing w:after="225"/>
        <w:jc w:val="both"/>
        <w:rPr>
          <w:b/>
          <w:bCs/>
          <w:color w:val="000000" w:themeColor="text1"/>
          <w:sz w:val="32"/>
        </w:rPr>
      </w:pPr>
    </w:p>
    <w:p w14:paraId="2641E6AE" w14:textId="77777777" w:rsidR="004F1400" w:rsidRDefault="004F1400" w:rsidP="00031E4A">
      <w:pPr>
        <w:shd w:val="clear" w:color="auto" w:fill="FFFFFF"/>
        <w:spacing w:after="225"/>
        <w:jc w:val="both"/>
        <w:rPr>
          <w:b/>
          <w:bCs/>
          <w:color w:val="000000" w:themeColor="text1"/>
          <w:sz w:val="32"/>
        </w:rPr>
      </w:pPr>
    </w:p>
    <w:p w14:paraId="5ABA738F" w14:textId="4910D82C" w:rsidR="00031E4A" w:rsidRDefault="00031E4A" w:rsidP="00031E4A">
      <w:pPr>
        <w:shd w:val="clear" w:color="auto" w:fill="FFFFFF"/>
        <w:spacing w:after="225"/>
        <w:jc w:val="both"/>
        <w:rPr>
          <w:b/>
          <w:bCs/>
          <w:color w:val="000000" w:themeColor="text1"/>
          <w:sz w:val="32"/>
        </w:rPr>
      </w:pPr>
      <w:r>
        <w:rPr>
          <w:b/>
          <w:bCs/>
          <w:color w:val="000000" w:themeColor="text1"/>
          <w:sz w:val="32"/>
        </w:rPr>
        <w:t>Southwest Idaho Case Study: Robin Rausch</w:t>
      </w:r>
    </w:p>
    <w:p w14:paraId="3DF01A07" w14:textId="77777777" w:rsidR="00031E4A" w:rsidRDefault="00031E4A" w:rsidP="00031E4A">
      <w:pPr>
        <w:rPr>
          <w:b/>
          <w:color w:val="000000" w:themeColor="text1"/>
          <w:szCs w:val="22"/>
        </w:rPr>
      </w:pPr>
    </w:p>
    <w:p w14:paraId="3F2359A8" w14:textId="77777777" w:rsidR="00031E4A" w:rsidRDefault="00031E4A" w:rsidP="00031E4A">
      <w:pPr>
        <w:rPr>
          <w:color w:val="000000" w:themeColor="text1"/>
          <w:sz w:val="22"/>
          <w:szCs w:val="22"/>
        </w:rPr>
      </w:pPr>
      <w:r>
        <w:rPr>
          <w:noProof/>
        </w:rPr>
        <w:drawing>
          <wp:anchor distT="0" distB="0" distL="114300" distR="114300" simplePos="0" relativeHeight="251663360" behindDoc="0" locked="0" layoutInCell="1" allowOverlap="1" wp14:anchorId="228E2E17" wp14:editId="438AE86B">
            <wp:simplePos x="0" y="0"/>
            <wp:positionH relativeFrom="column">
              <wp:posOffset>2375535</wp:posOffset>
            </wp:positionH>
            <wp:positionV relativeFrom="paragraph">
              <wp:posOffset>16510</wp:posOffset>
            </wp:positionV>
            <wp:extent cx="3416935" cy="244094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6935" cy="2440940"/>
                    </a:xfrm>
                    <a:prstGeom prst="rect">
                      <a:avLst/>
                    </a:prstGeom>
                    <a:noFill/>
                  </pic:spPr>
                </pic:pic>
              </a:graphicData>
            </a:graphic>
            <wp14:sizeRelH relativeFrom="page">
              <wp14:pctWidth>0</wp14:pctWidth>
            </wp14:sizeRelH>
            <wp14:sizeRelV relativeFrom="page">
              <wp14:pctHeight>0</wp14:pctHeight>
            </wp14:sizeRelV>
          </wp:anchor>
        </w:drawing>
      </w:r>
      <w:r>
        <w:rPr>
          <w:color w:val="000000" w:themeColor="text1"/>
          <w:sz w:val="22"/>
          <w:szCs w:val="22"/>
        </w:rPr>
        <w:t>Robin Kelley Rausch, of Boise is a mother of two children—ages seven and four—who tries to carry on the college-going culture from the one she grew up with to her own family now. A Buhl native, Rausch learned early in life about the value of higher education from her parents. “My parents would say, ‘Money comes and goes. Health can be unpredictable. But once you earn an education, that’s yours. Nobody can take your education away from you.’”</w:t>
      </w:r>
    </w:p>
    <w:p w14:paraId="4A335713" w14:textId="77777777" w:rsidR="00031E4A" w:rsidRDefault="00031E4A" w:rsidP="00031E4A">
      <w:pPr>
        <w:rPr>
          <w:color w:val="000000" w:themeColor="text1"/>
          <w:sz w:val="22"/>
          <w:szCs w:val="22"/>
        </w:rPr>
      </w:pPr>
    </w:p>
    <w:p w14:paraId="2EA053F6" w14:textId="77777777" w:rsidR="00031E4A" w:rsidRDefault="00031E4A" w:rsidP="00031E4A">
      <w:pPr>
        <w:rPr>
          <w:color w:val="000000" w:themeColor="text1"/>
          <w:sz w:val="22"/>
          <w:szCs w:val="22"/>
        </w:rPr>
      </w:pPr>
      <w:r>
        <w:rPr>
          <w:color w:val="000000" w:themeColor="text1"/>
          <w:sz w:val="22"/>
          <w:szCs w:val="22"/>
        </w:rPr>
        <w:t xml:space="preserve">Rausch has had </w:t>
      </w:r>
      <w:proofErr w:type="spellStart"/>
      <w:r>
        <w:rPr>
          <w:color w:val="000000" w:themeColor="text1"/>
          <w:sz w:val="22"/>
          <w:szCs w:val="22"/>
        </w:rPr>
        <w:t>IDeal</w:t>
      </w:r>
      <w:proofErr w:type="spellEnd"/>
      <w:r>
        <w:rPr>
          <w:color w:val="000000" w:themeColor="text1"/>
          <w:sz w:val="22"/>
          <w:szCs w:val="22"/>
        </w:rPr>
        <w:t xml:space="preserve"> accounts for both of her children since they were infants, and contributes to the account monthly with automatic deductions. Robin’s parents help contribute to the account, and the children even chip in sometimes. “Last year my kids each received $100 for Christmas from a grandparent, with no strings attached. They both chose to invest in their college savings accounts. Going to college is something that we talk about as a family and they clearly understand that value,” she says.</w:t>
      </w:r>
    </w:p>
    <w:p w14:paraId="57C1D8F6" w14:textId="77777777" w:rsidR="00031E4A" w:rsidRDefault="00031E4A" w:rsidP="00031E4A">
      <w:pPr>
        <w:rPr>
          <w:color w:val="000000" w:themeColor="text1"/>
          <w:sz w:val="22"/>
          <w:szCs w:val="22"/>
        </w:rPr>
      </w:pPr>
    </w:p>
    <w:p w14:paraId="42AD31FB" w14:textId="77777777" w:rsidR="00031E4A" w:rsidRDefault="00031E4A" w:rsidP="00031E4A">
      <w:pPr>
        <w:rPr>
          <w:color w:val="000000" w:themeColor="text1"/>
          <w:sz w:val="22"/>
          <w:szCs w:val="22"/>
        </w:rPr>
      </w:pPr>
      <w:r>
        <w:rPr>
          <w:color w:val="000000" w:themeColor="text1"/>
          <w:sz w:val="22"/>
          <w:szCs w:val="22"/>
        </w:rPr>
        <w:t xml:space="preserve">Education represents individual empowerment for Rausch’s own children. “My son is four, and I told him, ‘You are so close to being able to read and write your own stories.’ He got so excited that he is now writing miscellaneous letters and numbers on a notepad and says that he is writing a book.” </w:t>
      </w:r>
    </w:p>
    <w:p w14:paraId="09633125" w14:textId="77777777" w:rsidR="00031E4A" w:rsidRDefault="00031E4A" w:rsidP="00031E4A">
      <w:pPr>
        <w:rPr>
          <w:color w:val="000000" w:themeColor="text1"/>
          <w:sz w:val="22"/>
          <w:szCs w:val="22"/>
        </w:rPr>
      </w:pPr>
    </w:p>
    <w:p w14:paraId="3D610C71" w14:textId="77777777" w:rsidR="00031E4A" w:rsidRDefault="00031E4A" w:rsidP="00031E4A">
      <w:pPr>
        <w:rPr>
          <w:color w:val="000000" w:themeColor="text1"/>
          <w:sz w:val="22"/>
          <w:szCs w:val="22"/>
        </w:rPr>
      </w:pPr>
      <w:r>
        <w:rPr>
          <w:color w:val="000000" w:themeColor="text1"/>
          <w:sz w:val="22"/>
          <w:szCs w:val="22"/>
        </w:rPr>
        <w:t>Rausch has some advice for parents who want to inspire their own children to go on to higher education: “I think the message needs to come from both parents and other family members. The message is a common foundation of the family culture. Beyond talking about it, both parents need to be on board with putting that money away now.”</w:t>
      </w:r>
    </w:p>
    <w:p w14:paraId="4F272723" w14:textId="77777777" w:rsidR="00031E4A" w:rsidRDefault="00031E4A" w:rsidP="00031E4A">
      <w:pPr>
        <w:rPr>
          <w:b/>
          <w:color w:val="000000" w:themeColor="text1"/>
          <w:sz w:val="22"/>
          <w:szCs w:val="22"/>
        </w:rPr>
      </w:pPr>
      <w:r>
        <w:rPr>
          <w:b/>
          <w:color w:val="000000" w:themeColor="text1"/>
          <w:sz w:val="22"/>
          <w:szCs w:val="22"/>
        </w:rPr>
        <w:br w:type="page"/>
      </w:r>
    </w:p>
    <w:p w14:paraId="2C154C9F" w14:textId="77777777" w:rsidR="00031E4A" w:rsidRDefault="00031E4A" w:rsidP="00031E4A">
      <w:pPr>
        <w:rPr>
          <w:b/>
          <w:color w:val="000000" w:themeColor="text1"/>
          <w:szCs w:val="22"/>
        </w:rPr>
      </w:pPr>
    </w:p>
    <w:p w14:paraId="4829409C" w14:textId="77777777" w:rsidR="00031E4A" w:rsidRDefault="00031E4A" w:rsidP="00031E4A">
      <w:pPr>
        <w:rPr>
          <w:b/>
          <w:color w:val="000000" w:themeColor="text1"/>
          <w:szCs w:val="22"/>
        </w:rPr>
      </w:pPr>
    </w:p>
    <w:p w14:paraId="71A07A22" w14:textId="77777777" w:rsidR="00031E4A" w:rsidRDefault="00031E4A" w:rsidP="00031E4A">
      <w:pPr>
        <w:rPr>
          <w:b/>
          <w:bCs/>
          <w:color w:val="000000" w:themeColor="text1"/>
          <w:sz w:val="32"/>
        </w:rPr>
      </w:pPr>
      <w:r>
        <w:rPr>
          <w:b/>
          <w:bCs/>
          <w:color w:val="000000" w:themeColor="text1"/>
          <w:sz w:val="32"/>
        </w:rPr>
        <w:t>Central Idaho Findings</w:t>
      </w:r>
    </w:p>
    <w:p w14:paraId="347A65E9" w14:textId="77777777" w:rsidR="00031E4A" w:rsidRDefault="00031E4A" w:rsidP="00031E4A">
      <w:pPr>
        <w:rPr>
          <w:b/>
          <w:bCs/>
          <w:color w:val="000000" w:themeColor="text1"/>
          <w:sz w:val="32"/>
        </w:rPr>
      </w:pPr>
    </w:p>
    <w:p w14:paraId="56A4635A" w14:textId="3EEDA446" w:rsidR="00031E4A" w:rsidRPr="00503E36" w:rsidRDefault="00031E4A" w:rsidP="00031E4A">
      <w:pPr>
        <w:pStyle w:val="ListParagraph"/>
        <w:numPr>
          <w:ilvl w:val="0"/>
          <w:numId w:val="4"/>
        </w:numPr>
        <w:rPr>
          <w:rFonts w:ascii="Times New Roman" w:hAnsi="Times New Roman" w:cs="Times New Roman"/>
          <w:color w:val="000000" w:themeColor="text1"/>
          <w:sz w:val="22"/>
          <w:szCs w:val="22"/>
        </w:rPr>
      </w:pPr>
      <w:r w:rsidRPr="00503E36">
        <w:rPr>
          <w:rFonts w:ascii="Times New Roman" w:hAnsi="Times New Roman" w:cs="Times New Roman"/>
          <w:color w:val="000000" w:themeColor="text1"/>
          <w:sz w:val="22"/>
          <w:szCs w:val="22"/>
        </w:rPr>
        <w:t>Central Idaho families have $3.</w:t>
      </w:r>
      <w:r w:rsidR="00241362" w:rsidRPr="00503E36">
        <w:rPr>
          <w:rFonts w:ascii="Times New Roman" w:hAnsi="Times New Roman" w:cs="Times New Roman"/>
          <w:color w:val="000000" w:themeColor="text1"/>
          <w:sz w:val="22"/>
          <w:szCs w:val="22"/>
        </w:rPr>
        <w:t>2</w:t>
      </w:r>
      <w:r w:rsidRPr="00503E36">
        <w:rPr>
          <w:rFonts w:ascii="Times New Roman" w:hAnsi="Times New Roman" w:cs="Times New Roman"/>
          <w:color w:val="000000" w:themeColor="text1"/>
          <w:sz w:val="22"/>
          <w:szCs w:val="22"/>
        </w:rPr>
        <w:t xml:space="preserve"> million more in their </w:t>
      </w:r>
      <w:proofErr w:type="spellStart"/>
      <w:r w:rsidRPr="00503E36">
        <w:rPr>
          <w:rFonts w:ascii="Times New Roman" w:hAnsi="Times New Roman" w:cs="Times New Roman"/>
          <w:color w:val="000000" w:themeColor="text1"/>
          <w:sz w:val="22"/>
          <w:szCs w:val="22"/>
        </w:rPr>
        <w:t>IDeal</w:t>
      </w:r>
      <w:proofErr w:type="spellEnd"/>
      <w:r w:rsidRPr="00503E36">
        <w:rPr>
          <w:rFonts w:ascii="Times New Roman" w:hAnsi="Times New Roman" w:cs="Times New Roman"/>
          <w:color w:val="000000" w:themeColor="text1"/>
          <w:sz w:val="22"/>
          <w:szCs w:val="22"/>
        </w:rPr>
        <w:t xml:space="preserve"> college savings a</w:t>
      </w:r>
      <w:r w:rsidR="00A2154B">
        <w:rPr>
          <w:rFonts w:ascii="Times New Roman" w:hAnsi="Times New Roman" w:cs="Times New Roman"/>
          <w:color w:val="000000" w:themeColor="text1"/>
          <w:sz w:val="22"/>
          <w:szCs w:val="22"/>
        </w:rPr>
        <w:t>ccounts than they did a year prior</w:t>
      </w:r>
      <w:r w:rsidRPr="00503E36">
        <w:rPr>
          <w:rFonts w:ascii="Times New Roman" w:hAnsi="Times New Roman" w:cs="Times New Roman"/>
          <w:color w:val="000000" w:themeColor="text1"/>
          <w:sz w:val="22"/>
          <w:szCs w:val="22"/>
        </w:rPr>
        <w:t xml:space="preserve">. </w:t>
      </w:r>
      <w:r w:rsidRPr="00503E36">
        <w:rPr>
          <w:rFonts w:ascii="Times New Roman" w:hAnsi="Times New Roman" w:cs="Times New Roman"/>
          <w:color w:val="000000" w:themeColor="text1"/>
          <w:sz w:val="22"/>
          <w:szCs w:val="22"/>
        </w:rPr>
        <w:br/>
      </w:r>
    </w:p>
    <w:p w14:paraId="7B844703" w14:textId="77777777" w:rsidR="00031E4A" w:rsidRPr="00503E36" w:rsidRDefault="00031E4A" w:rsidP="00031E4A">
      <w:pPr>
        <w:pStyle w:val="ListParagraph"/>
        <w:numPr>
          <w:ilvl w:val="0"/>
          <w:numId w:val="4"/>
        </w:numPr>
        <w:rPr>
          <w:rFonts w:ascii="Times New Roman" w:hAnsi="Times New Roman" w:cs="Times New Roman"/>
          <w:color w:val="000000" w:themeColor="text1"/>
          <w:sz w:val="22"/>
          <w:szCs w:val="22"/>
        </w:rPr>
      </w:pPr>
      <w:r w:rsidRPr="00503E36">
        <w:rPr>
          <w:rFonts w:ascii="Times New Roman" w:hAnsi="Times New Roman" w:cs="Times New Roman"/>
          <w:color w:val="000000" w:themeColor="text1"/>
          <w:sz w:val="22"/>
          <w:szCs w:val="22"/>
        </w:rPr>
        <w:t>Lincoln County led central Idaho in growth in account ownership.</w:t>
      </w:r>
      <w:r w:rsidRPr="00503E36">
        <w:rPr>
          <w:rFonts w:ascii="Times New Roman" w:hAnsi="Times New Roman" w:cs="Times New Roman"/>
          <w:color w:val="000000" w:themeColor="text1"/>
          <w:sz w:val="22"/>
          <w:szCs w:val="22"/>
        </w:rPr>
        <w:br/>
      </w:r>
    </w:p>
    <w:p w14:paraId="0DD781FF" w14:textId="4B2329FD" w:rsidR="006569BF" w:rsidRPr="00503E36" w:rsidRDefault="006569BF" w:rsidP="006569BF">
      <w:pPr>
        <w:pStyle w:val="ListParagraph"/>
        <w:numPr>
          <w:ilvl w:val="0"/>
          <w:numId w:val="4"/>
        </w:numPr>
        <w:rPr>
          <w:rFonts w:ascii="Times New Roman" w:hAnsi="Times New Roman" w:cs="Times New Roman"/>
          <w:color w:val="000000" w:themeColor="text1"/>
          <w:sz w:val="22"/>
          <w:szCs w:val="22"/>
        </w:rPr>
      </w:pPr>
      <w:r w:rsidRPr="00503E36">
        <w:rPr>
          <w:rFonts w:ascii="Times New Roman" w:hAnsi="Times New Roman" w:cs="Times New Roman"/>
          <w:color w:val="000000" w:themeColor="text1"/>
          <w:sz w:val="22"/>
          <w:szCs w:val="22"/>
        </w:rPr>
        <w:t xml:space="preserve">Blaine County residents used </w:t>
      </w:r>
      <w:r w:rsidR="00241362" w:rsidRPr="00503E36">
        <w:rPr>
          <w:rFonts w:ascii="Times New Roman" w:hAnsi="Times New Roman" w:cs="Times New Roman"/>
          <w:color w:val="000000" w:themeColor="text1"/>
          <w:sz w:val="22"/>
          <w:szCs w:val="22"/>
        </w:rPr>
        <w:t>$1.5 million</w:t>
      </w:r>
      <w:r w:rsidRPr="00503E36">
        <w:rPr>
          <w:rFonts w:ascii="Times New Roman" w:hAnsi="Times New Roman" w:cs="Times New Roman"/>
          <w:color w:val="000000" w:themeColor="text1"/>
          <w:sz w:val="22"/>
          <w:szCs w:val="22"/>
        </w:rPr>
        <w:t xml:space="preserve"> through </w:t>
      </w:r>
      <w:proofErr w:type="spellStart"/>
      <w:r w:rsidRPr="00503E36">
        <w:rPr>
          <w:rFonts w:ascii="Times New Roman" w:hAnsi="Times New Roman" w:cs="Times New Roman"/>
          <w:color w:val="000000" w:themeColor="text1"/>
          <w:sz w:val="22"/>
          <w:szCs w:val="22"/>
        </w:rPr>
        <w:t>IDeal</w:t>
      </w:r>
      <w:proofErr w:type="spellEnd"/>
      <w:r w:rsidRPr="00503E36">
        <w:rPr>
          <w:rFonts w:ascii="Times New Roman" w:hAnsi="Times New Roman" w:cs="Times New Roman"/>
          <w:color w:val="000000" w:themeColor="text1"/>
          <w:sz w:val="22"/>
          <w:szCs w:val="22"/>
        </w:rPr>
        <w:t xml:space="preserve"> toward higher education over the past year.  </w:t>
      </w:r>
    </w:p>
    <w:p w14:paraId="1CA53DB2" w14:textId="104D17DA" w:rsidR="00031E4A" w:rsidRPr="00503E36" w:rsidRDefault="00031E4A" w:rsidP="00503E36">
      <w:pPr>
        <w:pStyle w:val="ListParagraph"/>
        <w:rPr>
          <w:rFonts w:ascii="Times New Roman" w:hAnsi="Times New Roman" w:cs="Times New Roman"/>
          <w:color w:val="000000" w:themeColor="text1"/>
          <w:sz w:val="22"/>
          <w:szCs w:val="22"/>
        </w:rPr>
      </w:pPr>
    </w:p>
    <w:p w14:paraId="0A3C9608" w14:textId="77777777" w:rsidR="00031E4A" w:rsidRPr="00503E36" w:rsidRDefault="00031E4A" w:rsidP="00031E4A">
      <w:pPr>
        <w:rPr>
          <w:color w:val="000000" w:themeColor="text1"/>
          <w:sz w:val="22"/>
          <w:szCs w:val="22"/>
        </w:rPr>
      </w:pPr>
    </w:p>
    <w:p w14:paraId="51546581" w14:textId="77777777" w:rsidR="00031E4A" w:rsidRDefault="00031E4A" w:rsidP="00031E4A">
      <w:pPr>
        <w:rPr>
          <w:b/>
          <w:color w:val="000000" w:themeColor="text1"/>
        </w:rPr>
      </w:pPr>
    </w:p>
    <w:tbl>
      <w:tblPr>
        <w:tblW w:w="8631" w:type="dxa"/>
        <w:tblInd w:w="729" w:type="dxa"/>
        <w:tblBorders>
          <w:insideH w:val="single" w:sz="4" w:space="0" w:color="auto"/>
        </w:tblBorders>
        <w:tblLook w:val="04A0" w:firstRow="1" w:lastRow="0" w:firstColumn="1" w:lastColumn="0" w:noHBand="0" w:noVBand="1"/>
      </w:tblPr>
      <w:tblGrid>
        <w:gridCol w:w="2376"/>
        <w:gridCol w:w="2180"/>
        <w:gridCol w:w="2360"/>
        <w:gridCol w:w="1715"/>
      </w:tblGrid>
      <w:tr w:rsidR="00031E4A" w:rsidRPr="00503E36" w14:paraId="7CCEC753" w14:textId="77777777" w:rsidTr="001A0DA6">
        <w:trPr>
          <w:trHeight w:val="612"/>
        </w:trPr>
        <w:tc>
          <w:tcPr>
            <w:tcW w:w="2376" w:type="dxa"/>
            <w:tcBorders>
              <w:top w:val="nil"/>
              <w:left w:val="nil"/>
              <w:bottom w:val="single" w:sz="4" w:space="0" w:color="auto"/>
              <w:right w:val="nil"/>
            </w:tcBorders>
            <w:noWrap/>
            <w:vAlign w:val="center"/>
          </w:tcPr>
          <w:p w14:paraId="2DC6F356" w14:textId="77777777" w:rsidR="00031E4A" w:rsidRPr="00503E36" w:rsidRDefault="00031E4A" w:rsidP="001A0DA6">
            <w:pPr>
              <w:jc w:val="center"/>
              <w:rPr>
                <w:sz w:val="22"/>
                <w:szCs w:val="22"/>
              </w:rPr>
            </w:pPr>
          </w:p>
        </w:tc>
        <w:tc>
          <w:tcPr>
            <w:tcW w:w="2180" w:type="dxa"/>
            <w:tcBorders>
              <w:top w:val="nil"/>
              <w:left w:val="nil"/>
              <w:bottom w:val="single" w:sz="4" w:space="0" w:color="auto"/>
              <w:right w:val="nil"/>
            </w:tcBorders>
            <w:noWrap/>
            <w:vAlign w:val="center"/>
            <w:hideMark/>
          </w:tcPr>
          <w:p w14:paraId="4471EC2E" w14:textId="77777777" w:rsidR="00031E4A" w:rsidRPr="00503E36" w:rsidRDefault="00031E4A" w:rsidP="001A0DA6">
            <w:pPr>
              <w:jc w:val="center"/>
              <w:rPr>
                <w:rFonts w:eastAsia="Times New Roman"/>
                <w:b/>
                <w:color w:val="000000"/>
                <w:sz w:val="22"/>
                <w:szCs w:val="22"/>
              </w:rPr>
            </w:pPr>
            <w:r w:rsidRPr="00503E36">
              <w:rPr>
                <w:rFonts w:eastAsia="Times New Roman"/>
                <w:b/>
                <w:color w:val="000000"/>
                <w:sz w:val="22"/>
                <w:szCs w:val="22"/>
              </w:rPr>
              <w:t>Account Owner % Change</w:t>
            </w:r>
          </w:p>
        </w:tc>
        <w:tc>
          <w:tcPr>
            <w:tcW w:w="2360" w:type="dxa"/>
            <w:tcBorders>
              <w:top w:val="nil"/>
              <w:left w:val="nil"/>
              <w:bottom w:val="single" w:sz="4" w:space="0" w:color="auto"/>
              <w:right w:val="nil"/>
            </w:tcBorders>
            <w:noWrap/>
            <w:vAlign w:val="center"/>
            <w:hideMark/>
          </w:tcPr>
          <w:p w14:paraId="617E748E" w14:textId="401067B4" w:rsidR="00031E4A" w:rsidRPr="00503E36" w:rsidRDefault="0030203B" w:rsidP="001A0DA6">
            <w:pPr>
              <w:jc w:val="center"/>
              <w:rPr>
                <w:rFonts w:eastAsia="Times New Roman"/>
                <w:b/>
                <w:color w:val="000000"/>
                <w:sz w:val="22"/>
                <w:szCs w:val="22"/>
              </w:rPr>
            </w:pPr>
            <w:r w:rsidRPr="00503E36">
              <w:rPr>
                <w:rFonts w:eastAsia="Times New Roman"/>
                <w:b/>
                <w:color w:val="000000"/>
                <w:sz w:val="22"/>
                <w:szCs w:val="22"/>
              </w:rPr>
              <w:t>Approximate Change in Savings</w:t>
            </w:r>
          </w:p>
        </w:tc>
        <w:tc>
          <w:tcPr>
            <w:tcW w:w="1715" w:type="dxa"/>
            <w:tcBorders>
              <w:top w:val="nil"/>
              <w:left w:val="nil"/>
              <w:bottom w:val="single" w:sz="4" w:space="0" w:color="auto"/>
              <w:right w:val="nil"/>
            </w:tcBorders>
            <w:vAlign w:val="center"/>
            <w:hideMark/>
          </w:tcPr>
          <w:p w14:paraId="4B4A4F3D" w14:textId="78813B27" w:rsidR="00031E4A" w:rsidRPr="00503E36" w:rsidRDefault="00635297" w:rsidP="001A0DA6">
            <w:pPr>
              <w:jc w:val="center"/>
              <w:rPr>
                <w:rFonts w:eastAsia="Times New Roman"/>
                <w:b/>
                <w:color w:val="000000"/>
                <w:sz w:val="22"/>
                <w:szCs w:val="22"/>
              </w:rPr>
            </w:pPr>
            <w:r>
              <w:rPr>
                <w:rFonts w:eastAsia="Times New Roman"/>
                <w:b/>
                <w:color w:val="000000"/>
                <w:sz w:val="22"/>
                <w:szCs w:val="22"/>
              </w:rPr>
              <w:t>Account withdrawals to pay for higher education</w:t>
            </w:r>
          </w:p>
        </w:tc>
      </w:tr>
      <w:tr w:rsidR="00031E4A" w:rsidRPr="00503E36" w14:paraId="47BBB433" w14:textId="77777777" w:rsidTr="001A0DA6">
        <w:trPr>
          <w:trHeight w:val="612"/>
        </w:trPr>
        <w:tc>
          <w:tcPr>
            <w:tcW w:w="2376" w:type="dxa"/>
            <w:tcBorders>
              <w:top w:val="single" w:sz="4" w:space="0" w:color="auto"/>
              <w:left w:val="nil"/>
              <w:bottom w:val="single" w:sz="4" w:space="0" w:color="auto"/>
              <w:right w:val="nil"/>
            </w:tcBorders>
            <w:noWrap/>
            <w:vAlign w:val="center"/>
            <w:hideMark/>
          </w:tcPr>
          <w:p w14:paraId="23C1B823" w14:textId="77777777" w:rsidR="00031E4A" w:rsidRPr="00503E36" w:rsidRDefault="00031E4A" w:rsidP="000F5A99">
            <w:pPr>
              <w:jc w:val="center"/>
              <w:rPr>
                <w:sz w:val="22"/>
                <w:szCs w:val="22"/>
              </w:rPr>
            </w:pPr>
            <w:r w:rsidRPr="00503E36">
              <w:rPr>
                <w:sz w:val="22"/>
                <w:szCs w:val="22"/>
              </w:rPr>
              <w:t>Lincoln</w:t>
            </w:r>
          </w:p>
        </w:tc>
        <w:tc>
          <w:tcPr>
            <w:tcW w:w="2180" w:type="dxa"/>
            <w:tcBorders>
              <w:top w:val="single" w:sz="4" w:space="0" w:color="auto"/>
              <w:left w:val="nil"/>
              <w:bottom w:val="single" w:sz="4" w:space="0" w:color="auto"/>
              <w:right w:val="nil"/>
            </w:tcBorders>
            <w:noWrap/>
            <w:vAlign w:val="center"/>
            <w:hideMark/>
          </w:tcPr>
          <w:p w14:paraId="14E31E72" w14:textId="77777777" w:rsidR="00031E4A" w:rsidRDefault="00031E4A" w:rsidP="001A0DA6">
            <w:pPr>
              <w:jc w:val="center"/>
              <w:rPr>
                <w:rFonts w:eastAsia="Times New Roman"/>
                <w:color w:val="000000"/>
                <w:sz w:val="22"/>
                <w:szCs w:val="22"/>
              </w:rPr>
            </w:pPr>
            <w:r w:rsidRPr="00503E36">
              <w:rPr>
                <w:rFonts w:eastAsia="Times New Roman"/>
                <w:color w:val="000000"/>
                <w:sz w:val="22"/>
                <w:szCs w:val="22"/>
              </w:rPr>
              <w:t>10.00%</w:t>
            </w:r>
          </w:p>
          <w:p w14:paraId="59C1C94A" w14:textId="6813BBA0" w:rsidR="000F5A99" w:rsidRPr="00503E36" w:rsidRDefault="000F5A99" w:rsidP="001A0DA6">
            <w:pPr>
              <w:jc w:val="center"/>
              <w:rPr>
                <w:rFonts w:eastAsia="Times New Roman"/>
                <w:color w:val="000000"/>
                <w:sz w:val="22"/>
                <w:szCs w:val="22"/>
              </w:rPr>
            </w:pPr>
            <w:r>
              <w:rPr>
                <w:rFonts w:eastAsia="Times New Roman"/>
                <w:color w:val="000000"/>
                <w:sz w:val="22"/>
                <w:szCs w:val="22"/>
              </w:rPr>
              <w:t>(+1)</w:t>
            </w:r>
          </w:p>
        </w:tc>
        <w:tc>
          <w:tcPr>
            <w:tcW w:w="2360" w:type="dxa"/>
            <w:tcBorders>
              <w:top w:val="single" w:sz="4" w:space="0" w:color="auto"/>
              <w:left w:val="nil"/>
              <w:bottom w:val="single" w:sz="4" w:space="0" w:color="auto"/>
              <w:right w:val="nil"/>
            </w:tcBorders>
            <w:noWrap/>
            <w:vAlign w:val="center"/>
            <w:hideMark/>
          </w:tcPr>
          <w:p w14:paraId="7A540D05" w14:textId="0D407BBC" w:rsidR="00031E4A" w:rsidRPr="00503E36" w:rsidRDefault="001A0DA6" w:rsidP="001A0DA6">
            <w:pPr>
              <w:jc w:val="center"/>
              <w:rPr>
                <w:rFonts w:eastAsia="Times New Roman"/>
                <w:b/>
                <w:color w:val="000000"/>
                <w:sz w:val="22"/>
                <w:szCs w:val="22"/>
              </w:rPr>
            </w:pPr>
            <w:r>
              <w:rPr>
                <w:rFonts w:eastAsia="Times New Roman"/>
                <w:color w:val="000000"/>
                <w:sz w:val="22"/>
                <w:szCs w:val="22"/>
              </w:rPr>
              <w:t>$29,000</w:t>
            </w:r>
          </w:p>
        </w:tc>
        <w:tc>
          <w:tcPr>
            <w:tcW w:w="1715" w:type="dxa"/>
            <w:tcBorders>
              <w:top w:val="single" w:sz="4" w:space="0" w:color="auto"/>
              <w:left w:val="nil"/>
              <w:bottom w:val="single" w:sz="4" w:space="0" w:color="auto"/>
              <w:right w:val="nil"/>
            </w:tcBorders>
            <w:vAlign w:val="center"/>
          </w:tcPr>
          <w:p w14:paraId="058483AA" w14:textId="5E757F3A" w:rsidR="00031E4A" w:rsidRPr="00503E36" w:rsidRDefault="006569BF" w:rsidP="001A0DA6">
            <w:pPr>
              <w:jc w:val="center"/>
              <w:rPr>
                <w:rFonts w:eastAsia="Times New Roman"/>
                <w:color w:val="000000"/>
                <w:sz w:val="22"/>
                <w:szCs w:val="22"/>
              </w:rPr>
            </w:pPr>
            <w:r w:rsidRPr="00503E36">
              <w:rPr>
                <w:rFonts w:eastAsia="Times New Roman"/>
                <w:color w:val="000000"/>
                <w:sz w:val="22"/>
                <w:szCs w:val="22"/>
              </w:rPr>
              <w:t>$</w:t>
            </w:r>
            <w:r w:rsidR="005F3E75">
              <w:rPr>
                <w:rFonts w:eastAsia="Times New Roman"/>
                <w:color w:val="000000"/>
                <w:sz w:val="22"/>
                <w:szCs w:val="22"/>
              </w:rPr>
              <w:t>18,000</w:t>
            </w:r>
          </w:p>
        </w:tc>
      </w:tr>
      <w:tr w:rsidR="00031E4A" w:rsidRPr="00503E36" w14:paraId="4198C293" w14:textId="77777777" w:rsidTr="001A0DA6">
        <w:trPr>
          <w:trHeight w:val="612"/>
        </w:trPr>
        <w:tc>
          <w:tcPr>
            <w:tcW w:w="2376" w:type="dxa"/>
            <w:tcBorders>
              <w:top w:val="single" w:sz="4" w:space="0" w:color="auto"/>
              <w:left w:val="nil"/>
              <w:bottom w:val="single" w:sz="4" w:space="0" w:color="auto"/>
              <w:right w:val="nil"/>
            </w:tcBorders>
            <w:noWrap/>
            <w:vAlign w:val="center"/>
            <w:hideMark/>
          </w:tcPr>
          <w:p w14:paraId="06FCDF26" w14:textId="77777777" w:rsidR="00031E4A" w:rsidRPr="00503E36" w:rsidRDefault="00031E4A" w:rsidP="000F5A99">
            <w:pPr>
              <w:jc w:val="center"/>
              <w:rPr>
                <w:sz w:val="22"/>
                <w:szCs w:val="22"/>
              </w:rPr>
            </w:pPr>
            <w:r w:rsidRPr="00503E36">
              <w:rPr>
                <w:sz w:val="22"/>
                <w:szCs w:val="22"/>
              </w:rPr>
              <w:t>Jerome</w:t>
            </w:r>
          </w:p>
        </w:tc>
        <w:tc>
          <w:tcPr>
            <w:tcW w:w="2180" w:type="dxa"/>
            <w:tcBorders>
              <w:top w:val="single" w:sz="4" w:space="0" w:color="auto"/>
              <w:left w:val="nil"/>
              <w:bottom w:val="single" w:sz="4" w:space="0" w:color="auto"/>
              <w:right w:val="nil"/>
            </w:tcBorders>
            <w:noWrap/>
            <w:vAlign w:val="center"/>
            <w:hideMark/>
          </w:tcPr>
          <w:p w14:paraId="5811DC83" w14:textId="77777777" w:rsidR="00031E4A" w:rsidRDefault="00031E4A" w:rsidP="001A0DA6">
            <w:pPr>
              <w:jc w:val="center"/>
              <w:rPr>
                <w:rFonts w:eastAsia="Times New Roman"/>
                <w:color w:val="000000"/>
                <w:sz w:val="22"/>
                <w:szCs w:val="22"/>
              </w:rPr>
            </w:pPr>
            <w:r w:rsidRPr="00503E36">
              <w:rPr>
                <w:rFonts w:eastAsia="Times New Roman"/>
                <w:color w:val="000000"/>
                <w:sz w:val="22"/>
                <w:szCs w:val="22"/>
              </w:rPr>
              <w:t>3.33%</w:t>
            </w:r>
          </w:p>
          <w:p w14:paraId="2E096762" w14:textId="4045834D" w:rsidR="000F5A99" w:rsidRPr="00503E36" w:rsidRDefault="000F5A99" w:rsidP="001A0DA6">
            <w:pPr>
              <w:jc w:val="center"/>
              <w:rPr>
                <w:rFonts w:eastAsia="Times New Roman"/>
                <w:color w:val="000000"/>
                <w:sz w:val="22"/>
                <w:szCs w:val="22"/>
              </w:rPr>
            </w:pPr>
            <w:r>
              <w:rPr>
                <w:rFonts w:eastAsia="Times New Roman"/>
                <w:color w:val="000000"/>
                <w:sz w:val="22"/>
                <w:szCs w:val="22"/>
              </w:rPr>
              <w:t>(+2)</w:t>
            </w:r>
          </w:p>
        </w:tc>
        <w:tc>
          <w:tcPr>
            <w:tcW w:w="2360" w:type="dxa"/>
            <w:tcBorders>
              <w:top w:val="single" w:sz="4" w:space="0" w:color="auto"/>
              <w:left w:val="nil"/>
              <w:bottom w:val="single" w:sz="4" w:space="0" w:color="auto"/>
              <w:right w:val="nil"/>
            </w:tcBorders>
            <w:noWrap/>
            <w:vAlign w:val="center"/>
            <w:hideMark/>
          </w:tcPr>
          <w:p w14:paraId="39CFE561" w14:textId="0234E310" w:rsidR="00031E4A" w:rsidRPr="00503E36" w:rsidRDefault="00031E4A" w:rsidP="001A0DA6">
            <w:pPr>
              <w:jc w:val="center"/>
              <w:rPr>
                <w:rFonts w:eastAsia="Times New Roman"/>
                <w:b/>
                <w:color w:val="000000"/>
                <w:sz w:val="22"/>
                <w:szCs w:val="22"/>
              </w:rPr>
            </w:pPr>
            <w:r w:rsidRPr="00503E36">
              <w:rPr>
                <w:rFonts w:eastAsia="Times New Roman"/>
                <w:color w:val="000000"/>
                <w:sz w:val="22"/>
                <w:szCs w:val="22"/>
              </w:rPr>
              <w:t>$186,0</w:t>
            </w:r>
            <w:r w:rsidR="001A0DA6">
              <w:rPr>
                <w:rFonts w:eastAsia="Times New Roman"/>
                <w:color w:val="000000"/>
                <w:sz w:val="22"/>
                <w:szCs w:val="22"/>
              </w:rPr>
              <w:t>00</w:t>
            </w:r>
          </w:p>
        </w:tc>
        <w:tc>
          <w:tcPr>
            <w:tcW w:w="1715" w:type="dxa"/>
            <w:tcBorders>
              <w:top w:val="single" w:sz="4" w:space="0" w:color="auto"/>
              <w:left w:val="nil"/>
              <w:bottom w:val="single" w:sz="4" w:space="0" w:color="auto"/>
              <w:right w:val="nil"/>
            </w:tcBorders>
            <w:vAlign w:val="center"/>
          </w:tcPr>
          <w:p w14:paraId="779F9EB7" w14:textId="4E269974" w:rsidR="00031E4A" w:rsidRPr="00503E36" w:rsidRDefault="005F3E75" w:rsidP="001A0DA6">
            <w:pPr>
              <w:jc w:val="center"/>
              <w:rPr>
                <w:rFonts w:eastAsia="Times New Roman"/>
                <w:color w:val="000000"/>
                <w:sz w:val="22"/>
                <w:szCs w:val="22"/>
              </w:rPr>
            </w:pPr>
            <w:r>
              <w:rPr>
                <w:rFonts w:eastAsia="Times New Roman"/>
                <w:color w:val="000000"/>
                <w:sz w:val="22"/>
                <w:szCs w:val="22"/>
              </w:rPr>
              <w:t>$108,000</w:t>
            </w:r>
          </w:p>
        </w:tc>
      </w:tr>
      <w:tr w:rsidR="00031E4A" w:rsidRPr="00503E36" w14:paraId="269F5422" w14:textId="77777777" w:rsidTr="001A0DA6">
        <w:trPr>
          <w:trHeight w:val="612"/>
        </w:trPr>
        <w:tc>
          <w:tcPr>
            <w:tcW w:w="2376" w:type="dxa"/>
            <w:tcBorders>
              <w:top w:val="single" w:sz="4" w:space="0" w:color="auto"/>
              <w:left w:val="nil"/>
              <w:bottom w:val="single" w:sz="4" w:space="0" w:color="auto"/>
              <w:right w:val="nil"/>
            </w:tcBorders>
            <w:noWrap/>
            <w:vAlign w:val="center"/>
            <w:hideMark/>
          </w:tcPr>
          <w:p w14:paraId="1C6D510E" w14:textId="77777777" w:rsidR="00031E4A" w:rsidRPr="00503E36" w:rsidRDefault="00031E4A" w:rsidP="000F5A99">
            <w:pPr>
              <w:jc w:val="center"/>
              <w:rPr>
                <w:sz w:val="22"/>
                <w:szCs w:val="22"/>
              </w:rPr>
            </w:pPr>
            <w:r w:rsidRPr="00503E36">
              <w:rPr>
                <w:sz w:val="22"/>
                <w:szCs w:val="22"/>
              </w:rPr>
              <w:t>Minidoka</w:t>
            </w:r>
          </w:p>
        </w:tc>
        <w:tc>
          <w:tcPr>
            <w:tcW w:w="2180" w:type="dxa"/>
            <w:tcBorders>
              <w:top w:val="single" w:sz="4" w:space="0" w:color="auto"/>
              <w:left w:val="nil"/>
              <w:bottom w:val="single" w:sz="4" w:space="0" w:color="auto"/>
              <w:right w:val="nil"/>
            </w:tcBorders>
            <w:noWrap/>
            <w:vAlign w:val="center"/>
            <w:hideMark/>
          </w:tcPr>
          <w:p w14:paraId="45CB0886" w14:textId="77777777" w:rsidR="00031E4A" w:rsidRDefault="00031E4A" w:rsidP="001A0DA6">
            <w:pPr>
              <w:jc w:val="center"/>
              <w:rPr>
                <w:rFonts w:eastAsia="Times New Roman"/>
                <w:color w:val="000000"/>
                <w:sz w:val="22"/>
                <w:szCs w:val="22"/>
              </w:rPr>
            </w:pPr>
            <w:r w:rsidRPr="00503E36">
              <w:rPr>
                <w:rFonts w:eastAsia="Times New Roman"/>
                <w:color w:val="000000"/>
                <w:sz w:val="22"/>
                <w:szCs w:val="22"/>
              </w:rPr>
              <w:t>3.33%</w:t>
            </w:r>
          </w:p>
          <w:p w14:paraId="28CB3CC9" w14:textId="1912D792" w:rsidR="000F5A99" w:rsidRPr="00503E36" w:rsidRDefault="000F5A99" w:rsidP="001A0DA6">
            <w:pPr>
              <w:jc w:val="center"/>
              <w:rPr>
                <w:rFonts w:eastAsia="Times New Roman"/>
                <w:color w:val="000000"/>
                <w:sz w:val="22"/>
                <w:szCs w:val="22"/>
              </w:rPr>
            </w:pPr>
            <w:r>
              <w:rPr>
                <w:rFonts w:eastAsia="Times New Roman"/>
                <w:color w:val="000000"/>
                <w:sz w:val="22"/>
                <w:szCs w:val="22"/>
              </w:rPr>
              <w:t>(+1)</w:t>
            </w:r>
          </w:p>
        </w:tc>
        <w:tc>
          <w:tcPr>
            <w:tcW w:w="2360" w:type="dxa"/>
            <w:tcBorders>
              <w:top w:val="single" w:sz="4" w:space="0" w:color="auto"/>
              <w:left w:val="nil"/>
              <w:bottom w:val="single" w:sz="4" w:space="0" w:color="auto"/>
              <w:right w:val="nil"/>
            </w:tcBorders>
            <w:noWrap/>
            <w:vAlign w:val="center"/>
            <w:hideMark/>
          </w:tcPr>
          <w:p w14:paraId="17E7B56D" w14:textId="0012ED97" w:rsidR="00031E4A" w:rsidRPr="00503E36" w:rsidRDefault="00031E4A" w:rsidP="001A0DA6">
            <w:pPr>
              <w:jc w:val="center"/>
              <w:rPr>
                <w:rFonts w:eastAsia="Times New Roman"/>
                <w:b/>
                <w:color w:val="000000"/>
                <w:sz w:val="22"/>
                <w:szCs w:val="22"/>
              </w:rPr>
            </w:pPr>
            <w:r w:rsidRPr="00503E36">
              <w:rPr>
                <w:rFonts w:eastAsia="Times New Roman"/>
                <w:color w:val="000000"/>
                <w:sz w:val="22"/>
                <w:szCs w:val="22"/>
              </w:rPr>
              <w:t>$55,0</w:t>
            </w:r>
            <w:r w:rsidR="001A0DA6">
              <w:rPr>
                <w:rFonts w:eastAsia="Times New Roman"/>
                <w:color w:val="000000"/>
                <w:sz w:val="22"/>
                <w:szCs w:val="22"/>
              </w:rPr>
              <w:t>00</w:t>
            </w:r>
          </w:p>
        </w:tc>
        <w:tc>
          <w:tcPr>
            <w:tcW w:w="1715" w:type="dxa"/>
            <w:tcBorders>
              <w:top w:val="single" w:sz="4" w:space="0" w:color="auto"/>
              <w:left w:val="nil"/>
              <w:bottom w:val="single" w:sz="4" w:space="0" w:color="auto"/>
              <w:right w:val="nil"/>
            </w:tcBorders>
            <w:vAlign w:val="center"/>
          </w:tcPr>
          <w:p w14:paraId="2F27D83C" w14:textId="76A5A2A9" w:rsidR="00031E4A" w:rsidRPr="00503E36" w:rsidRDefault="005F3E75" w:rsidP="001A0DA6">
            <w:pPr>
              <w:jc w:val="center"/>
              <w:rPr>
                <w:rFonts w:eastAsia="Times New Roman"/>
                <w:color w:val="000000"/>
                <w:sz w:val="22"/>
                <w:szCs w:val="22"/>
              </w:rPr>
            </w:pPr>
            <w:r>
              <w:rPr>
                <w:rFonts w:eastAsia="Times New Roman"/>
                <w:color w:val="000000"/>
                <w:sz w:val="22"/>
                <w:szCs w:val="22"/>
              </w:rPr>
              <w:t>$44,000</w:t>
            </w:r>
          </w:p>
        </w:tc>
      </w:tr>
      <w:tr w:rsidR="00031E4A" w:rsidRPr="00503E36" w14:paraId="1916114C" w14:textId="77777777" w:rsidTr="001A0DA6">
        <w:trPr>
          <w:trHeight w:val="612"/>
        </w:trPr>
        <w:tc>
          <w:tcPr>
            <w:tcW w:w="2376" w:type="dxa"/>
            <w:tcBorders>
              <w:top w:val="single" w:sz="4" w:space="0" w:color="auto"/>
              <w:left w:val="nil"/>
              <w:bottom w:val="single" w:sz="4" w:space="0" w:color="auto"/>
              <w:right w:val="nil"/>
            </w:tcBorders>
            <w:noWrap/>
            <w:vAlign w:val="center"/>
            <w:hideMark/>
          </w:tcPr>
          <w:p w14:paraId="496B6A20" w14:textId="77777777" w:rsidR="00031E4A" w:rsidRPr="00503E36" w:rsidRDefault="00031E4A" w:rsidP="000F5A99">
            <w:pPr>
              <w:jc w:val="center"/>
              <w:rPr>
                <w:sz w:val="22"/>
                <w:szCs w:val="22"/>
              </w:rPr>
            </w:pPr>
            <w:r w:rsidRPr="00503E36">
              <w:rPr>
                <w:sz w:val="22"/>
                <w:szCs w:val="22"/>
              </w:rPr>
              <w:t>Twin Falls</w:t>
            </w:r>
          </w:p>
        </w:tc>
        <w:tc>
          <w:tcPr>
            <w:tcW w:w="2180" w:type="dxa"/>
            <w:tcBorders>
              <w:top w:val="single" w:sz="4" w:space="0" w:color="auto"/>
              <w:left w:val="nil"/>
              <w:bottom w:val="single" w:sz="4" w:space="0" w:color="auto"/>
              <w:right w:val="nil"/>
            </w:tcBorders>
            <w:noWrap/>
            <w:vAlign w:val="center"/>
            <w:hideMark/>
          </w:tcPr>
          <w:p w14:paraId="02E4BC2F" w14:textId="77777777" w:rsidR="00031E4A" w:rsidRDefault="00031E4A" w:rsidP="001A0DA6">
            <w:pPr>
              <w:jc w:val="center"/>
              <w:rPr>
                <w:rFonts w:eastAsia="Times New Roman"/>
                <w:color w:val="000000"/>
                <w:sz w:val="22"/>
                <w:szCs w:val="22"/>
              </w:rPr>
            </w:pPr>
            <w:r w:rsidRPr="00503E36">
              <w:rPr>
                <w:rFonts w:eastAsia="Times New Roman"/>
                <w:color w:val="000000"/>
                <w:sz w:val="22"/>
                <w:szCs w:val="22"/>
              </w:rPr>
              <w:t>2.32%</w:t>
            </w:r>
          </w:p>
          <w:p w14:paraId="38D33C4B" w14:textId="1C13F6C5" w:rsidR="000F5A99" w:rsidRPr="00503E36" w:rsidRDefault="000F5A99" w:rsidP="001A0DA6">
            <w:pPr>
              <w:jc w:val="center"/>
              <w:rPr>
                <w:rFonts w:eastAsia="Times New Roman"/>
                <w:color w:val="000000"/>
                <w:sz w:val="22"/>
                <w:szCs w:val="22"/>
              </w:rPr>
            </w:pPr>
            <w:r>
              <w:rPr>
                <w:rFonts w:eastAsia="Times New Roman"/>
                <w:color w:val="000000"/>
                <w:sz w:val="22"/>
                <w:szCs w:val="22"/>
              </w:rPr>
              <w:t>(+8)</w:t>
            </w:r>
          </w:p>
        </w:tc>
        <w:tc>
          <w:tcPr>
            <w:tcW w:w="2360" w:type="dxa"/>
            <w:tcBorders>
              <w:top w:val="single" w:sz="4" w:space="0" w:color="auto"/>
              <w:left w:val="nil"/>
              <w:bottom w:val="single" w:sz="4" w:space="0" w:color="auto"/>
              <w:right w:val="nil"/>
            </w:tcBorders>
            <w:noWrap/>
            <w:vAlign w:val="center"/>
            <w:hideMark/>
          </w:tcPr>
          <w:p w14:paraId="1ABCEDF4" w14:textId="41EFAFE5" w:rsidR="00031E4A" w:rsidRPr="00503E36" w:rsidRDefault="00031E4A" w:rsidP="001A0DA6">
            <w:pPr>
              <w:jc w:val="center"/>
              <w:rPr>
                <w:rFonts w:eastAsia="Times New Roman"/>
                <w:b/>
                <w:color w:val="000000"/>
                <w:sz w:val="22"/>
                <w:szCs w:val="22"/>
              </w:rPr>
            </w:pPr>
            <w:r w:rsidRPr="00503E36">
              <w:rPr>
                <w:rFonts w:eastAsia="Times New Roman"/>
                <w:color w:val="000000"/>
                <w:sz w:val="22"/>
                <w:szCs w:val="22"/>
              </w:rPr>
              <w:t>$1</w:t>
            </w:r>
            <w:r w:rsidR="001A0DA6">
              <w:rPr>
                <w:rFonts w:eastAsia="Times New Roman"/>
                <w:color w:val="000000"/>
                <w:sz w:val="22"/>
                <w:szCs w:val="22"/>
              </w:rPr>
              <w:t xml:space="preserve"> million</w:t>
            </w:r>
          </w:p>
        </w:tc>
        <w:tc>
          <w:tcPr>
            <w:tcW w:w="1715" w:type="dxa"/>
            <w:tcBorders>
              <w:top w:val="single" w:sz="4" w:space="0" w:color="auto"/>
              <w:left w:val="nil"/>
              <w:bottom w:val="single" w:sz="4" w:space="0" w:color="auto"/>
              <w:right w:val="nil"/>
            </w:tcBorders>
            <w:vAlign w:val="center"/>
          </w:tcPr>
          <w:p w14:paraId="5D0161E9" w14:textId="748FB4C7" w:rsidR="00031E4A" w:rsidRPr="00503E36" w:rsidRDefault="005F3E75" w:rsidP="001A0DA6">
            <w:pPr>
              <w:jc w:val="center"/>
              <w:rPr>
                <w:rFonts w:eastAsia="Times New Roman"/>
                <w:color w:val="000000"/>
                <w:sz w:val="22"/>
                <w:szCs w:val="22"/>
              </w:rPr>
            </w:pPr>
            <w:r>
              <w:rPr>
                <w:rFonts w:eastAsia="Times New Roman"/>
                <w:color w:val="000000"/>
                <w:sz w:val="22"/>
                <w:szCs w:val="22"/>
              </w:rPr>
              <w:t>$615,000</w:t>
            </w:r>
          </w:p>
        </w:tc>
      </w:tr>
      <w:tr w:rsidR="00031E4A" w:rsidRPr="00503E36" w14:paraId="6A638A0F" w14:textId="77777777" w:rsidTr="001A0DA6">
        <w:trPr>
          <w:trHeight w:val="612"/>
        </w:trPr>
        <w:tc>
          <w:tcPr>
            <w:tcW w:w="2376" w:type="dxa"/>
            <w:tcBorders>
              <w:top w:val="single" w:sz="4" w:space="0" w:color="auto"/>
              <w:left w:val="nil"/>
              <w:bottom w:val="single" w:sz="4" w:space="0" w:color="auto"/>
              <w:right w:val="nil"/>
            </w:tcBorders>
            <w:noWrap/>
            <w:vAlign w:val="center"/>
            <w:hideMark/>
          </w:tcPr>
          <w:p w14:paraId="7EA2486D" w14:textId="77777777" w:rsidR="00031E4A" w:rsidRPr="00503E36" w:rsidRDefault="00031E4A" w:rsidP="000F5A99">
            <w:pPr>
              <w:jc w:val="center"/>
              <w:rPr>
                <w:sz w:val="22"/>
                <w:szCs w:val="22"/>
              </w:rPr>
            </w:pPr>
            <w:r w:rsidRPr="00503E36">
              <w:rPr>
                <w:sz w:val="22"/>
                <w:szCs w:val="22"/>
              </w:rPr>
              <w:t>Blaine</w:t>
            </w:r>
          </w:p>
        </w:tc>
        <w:tc>
          <w:tcPr>
            <w:tcW w:w="2180" w:type="dxa"/>
            <w:tcBorders>
              <w:top w:val="single" w:sz="4" w:space="0" w:color="auto"/>
              <w:left w:val="nil"/>
              <w:bottom w:val="single" w:sz="4" w:space="0" w:color="auto"/>
              <w:right w:val="nil"/>
            </w:tcBorders>
            <w:noWrap/>
            <w:vAlign w:val="center"/>
            <w:hideMark/>
          </w:tcPr>
          <w:p w14:paraId="76A3923E" w14:textId="77777777" w:rsidR="00031E4A" w:rsidRDefault="00031E4A" w:rsidP="001A0DA6">
            <w:pPr>
              <w:jc w:val="center"/>
              <w:rPr>
                <w:rFonts w:eastAsia="Times New Roman"/>
                <w:color w:val="000000"/>
                <w:sz w:val="22"/>
                <w:szCs w:val="22"/>
              </w:rPr>
            </w:pPr>
            <w:r w:rsidRPr="00503E36">
              <w:rPr>
                <w:rFonts w:eastAsia="Times New Roman"/>
                <w:color w:val="000000"/>
                <w:sz w:val="22"/>
                <w:szCs w:val="22"/>
              </w:rPr>
              <w:t>1.34%</w:t>
            </w:r>
          </w:p>
          <w:p w14:paraId="32C18A2A" w14:textId="7C2E3CE5" w:rsidR="000F5A99" w:rsidRPr="00503E36" w:rsidRDefault="000F5A99" w:rsidP="001A0DA6">
            <w:pPr>
              <w:jc w:val="center"/>
              <w:rPr>
                <w:rFonts w:eastAsia="Times New Roman"/>
                <w:color w:val="000000"/>
                <w:sz w:val="22"/>
                <w:szCs w:val="22"/>
              </w:rPr>
            </w:pPr>
            <w:r>
              <w:rPr>
                <w:rFonts w:eastAsia="Times New Roman"/>
                <w:color w:val="000000"/>
                <w:sz w:val="22"/>
                <w:szCs w:val="22"/>
              </w:rPr>
              <w:t>(+5)</w:t>
            </w:r>
          </w:p>
        </w:tc>
        <w:tc>
          <w:tcPr>
            <w:tcW w:w="2360" w:type="dxa"/>
            <w:tcBorders>
              <w:top w:val="single" w:sz="4" w:space="0" w:color="auto"/>
              <w:left w:val="nil"/>
              <w:bottom w:val="single" w:sz="4" w:space="0" w:color="auto"/>
              <w:right w:val="nil"/>
            </w:tcBorders>
            <w:noWrap/>
            <w:vAlign w:val="center"/>
            <w:hideMark/>
          </w:tcPr>
          <w:p w14:paraId="45DE3DCE" w14:textId="4375076B" w:rsidR="00031E4A" w:rsidRPr="00503E36" w:rsidRDefault="00031E4A" w:rsidP="001A0DA6">
            <w:pPr>
              <w:jc w:val="center"/>
              <w:rPr>
                <w:rFonts w:eastAsia="Times New Roman"/>
                <w:b/>
                <w:color w:val="000000"/>
                <w:sz w:val="22"/>
                <w:szCs w:val="22"/>
              </w:rPr>
            </w:pPr>
            <w:r w:rsidRPr="00503E36">
              <w:rPr>
                <w:rFonts w:eastAsia="Times New Roman"/>
                <w:color w:val="000000"/>
                <w:sz w:val="22"/>
                <w:szCs w:val="22"/>
              </w:rPr>
              <w:t>$</w:t>
            </w:r>
            <w:r w:rsidR="001A0DA6">
              <w:rPr>
                <w:rFonts w:eastAsia="Times New Roman"/>
                <w:color w:val="000000"/>
                <w:sz w:val="22"/>
                <w:szCs w:val="22"/>
              </w:rPr>
              <w:t>1.4 million</w:t>
            </w:r>
          </w:p>
        </w:tc>
        <w:tc>
          <w:tcPr>
            <w:tcW w:w="1715" w:type="dxa"/>
            <w:tcBorders>
              <w:top w:val="single" w:sz="4" w:space="0" w:color="auto"/>
              <w:left w:val="nil"/>
              <w:bottom w:val="single" w:sz="4" w:space="0" w:color="auto"/>
              <w:right w:val="nil"/>
            </w:tcBorders>
            <w:vAlign w:val="center"/>
          </w:tcPr>
          <w:p w14:paraId="79F5EBC9" w14:textId="3C702505" w:rsidR="00031E4A" w:rsidRPr="00503E36" w:rsidRDefault="005F3E75" w:rsidP="001A0DA6">
            <w:pPr>
              <w:jc w:val="center"/>
              <w:rPr>
                <w:rFonts w:eastAsia="Times New Roman"/>
                <w:color w:val="000000"/>
                <w:sz w:val="22"/>
                <w:szCs w:val="22"/>
              </w:rPr>
            </w:pPr>
            <w:r>
              <w:rPr>
                <w:rFonts w:eastAsia="Times New Roman"/>
                <w:color w:val="000000"/>
                <w:sz w:val="22"/>
                <w:szCs w:val="22"/>
              </w:rPr>
              <w:t>$1.5 million</w:t>
            </w:r>
          </w:p>
        </w:tc>
      </w:tr>
      <w:tr w:rsidR="00031E4A" w:rsidRPr="00503E36" w14:paraId="65A5CE5C" w14:textId="77777777" w:rsidTr="001A0DA6">
        <w:trPr>
          <w:trHeight w:val="612"/>
        </w:trPr>
        <w:tc>
          <w:tcPr>
            <w:tcW w:w="2376" w:type="dxa"/>
            <w:tcBorders>
              <w:top w:val="single" w:sz="4" w:space="0" w:color="auto"/>
              <w:left w:val="nil"/>
              <w:bottom w:val="single" w:sz="4" w:space="0" w:color="auto"/>
              <w:right w:val="nil"/>
            </w:tcBorders>
            <w:noWrap/>
            <w:vAlign w:val="center"/>
            <w:hideMark/>
          </w:tcPr>
          <w:p w14:paraId="07B44E06" w14:textId="77777777" w:rsidR="00031E4A" w:rsidRPr="00503E36" w:rsidRDefault="00031E4A" w:rsidP="000F5A99">
            <w:pPr>
              <w:jc w:val="center"/>
              <w:rPr>
                <w:sz w:val="22"/>
                <w:szCs w:val="22"/>
              </w:rPr>
            </w:pPr>
            <w:r w:rsidRPr="00503E36">
              <w:rPr>
                <w:sz w:val="22"/>
                <w:szCs w:val="22"/>
              </w:rPr>
              <w:t>Cassia</w:t>
            </w:r>
          </w:p>
        </w:tc>
        <w:tc>
          <w:tcPr>
            <w:tcW w:w="2180" w:type="dxa"/>
            <w:tcBorders>
              <w:top w:val="single" w:sz="4" w:space="0" w:color="auto"/>
              <w:left w:val="nil"/>
              <w:bottom w:val="single" w:sz="4" w:space="0" w:color="auto"/>
              <w:right w:val="nil"/>
            </w:tcBorders>
            <w:noWrap/>
            <w:vAlign w:val="center"/>
            <w:hideMark/>
          </w:tcPr>
          <w:p w14:paraId="44EEB70A" w14:textId="77777777" w:rsidR="00031E4A" w:rsidRDefault="00031E4A" w:rsidP="001A0DA6">
            <w:pPr>
              <w:jc w:val="center"/>
              <w:rPr>
                <w:rFonts w:eastAsia="Times New Roman"/>
                <w:color w:val="C00000"/>
                <w:sz w:val="22"/>
                <w:szCs w:val="22"/>
              </w:rPr>
            </w:pPr>
            <w:r w:rsidRPr="00503E36">
              <w:rPr>
                <w:rFonts w:eastAsia="Times New Roman"/>
                <w:color w:val="C00000"/>
                <w:sz w:val="22"/>
                <w:szCs w:val="22"/>
              </w:rPr>
              <w:t>-1.52%</w:t>
            </w:r>
          </w:p>
          <w:p w14:paraId="2B21F73A" w14:textId="14F0D274" w:rsidR="000F5A99" w:rsidRPr="00503E36" w:rsidRDefault="000F5A99" w:rsidP="001A0DA6">
            <w:pPr>
              <w:jc w:val="center"/>
              <w:rPr>
                <w:rFonts w:eastAsia="Times New Roman"/>
                <w:color w:val="C00000"/>
                <w:sz w:val="22"/>
                <w:szCs w:val="22"/>
              </w:rPr>
            </w:pPr>
            <w:r>
              <w:rPr>
                <w:rFonts w:eastAsia="Times New Roman"/>
                <w:color w:val="C00000"/>
                <w:sz w:val="22"/>
                <w:szCs w:val="22"/>
              </w:rPr>
              <w:t>(-1)</w:t>
            </w:r>
          </w:p>
        </w:tc>
        <w:tc>
          <w:tcPr>
            <w:tcW w:w="2360" w:type="dxa"/>
            <w:tcBorders>
              <w:top w:val="single" w:sz="4" w:space="0" w:color="auto"/>
              <w:left w:val="nil"/>
              <w:bottom w:val="single" w:sz="4" w:space="0" w:color="auto"/>
              <w:right w:val="nil"/>
            </w:tcBorders>
            <w:noWrap/>
            <w:vAlign w:val="center"/>
            <w:hideMark/>
          </w:tcPr>
          <w:p w14:paraId="511624A4" w14:textId="53EC548A" w:rsidR="00031E4A" w:rsidRPr="00503E36" w:rsidRDefault="00031E4A" w:rsidP="001A0DA6">
            <w:pPr>
              <w:jc w:val="center"/>
              <w:rPr>
                <w:rFonts w:eastAsia="Times New Roman"/>
                <w:b/>
                <w:color w:val="000000"/>
                <w:sz w:val="22"/>
                <w:szCs w:val="22"/>
              </w:rPr>
            </w:pPr>
            <w:r w:rsidRPr="00503E36">
              <w:rPr>
                <w:rFonts w:eastAsia="Times New Roman"/>
                <w:color w:val="000000"/>
                <w:sz w:val="22"/>
                <w:szCs w:val="22"/>
              </w:rPr>
              <w:t>$274,</w:t>
            </w:r>
            <w:r w:rsidR="001A0DA6">
              <w:rPr>
                <w:rFonts w:eastAsia="Times New Roman"/>
                <w:color w:val="000000"/>
                <w:sz w:val="22"/>
                <w:szCs w:val="22"/>
              </w:rPr>
              <w:t>000</w:t>
            </w:r>
          </w:p>
        </w:tc>
        <w:tc>
          <w:tcPr>
            <w:tcW w:w="1715" w:type="dxa"/>
            <w:tcBorders>
              <w:top w:val="single" w:sz="4" w:space="0" w:color="auto"/>
              <w:left w:val="nil"/>
              <w:bottom w:val="single" w:sz="4" w:space="0" w:color="auto"/>
              <w:right w:val="nil"/>
            </w:tcBorders>
            <w:vAlign w:val="center"/>
          </w:tcPr>
          <w:p w14:paraId="598886BC" w14:textId="4F52B362" w:rsidR="00031E4A" w:rsidRPr="00503E36" w:rsidRDefault="005F3E75" w:rsidP="001A0DA6">
            <w:pPr>
              <w:jc w:val="center"/>
              <w:rPr>
                <w:rFonts w:eastAsia="Times New Roman"/>
                <w:color w:val="000000"/>
                <w:sz w:val="22"/>
                <w:szCs w:val="22"/>
              </w:rPr>
            </w:pPr>
            <w:r>
              <w:rPr>
                <w:rFonts w:eastAsia="Times New Roman"/>
                <w:color w:val="000000"/>
                <w:sz w:val="22"/>
                <w:szCs w:val="22"/>
              </w:rPr>
              <w:t>$57,000</w:t>
            </w:r>
          </w:p>
        </w:tc>
      </w:tr>
      <w:tr w:rsidR="00031E4A" w:rsidRPr="00503E36" w14:paraId="76A6E6A9" w14:textId="77777777" w:rsidTr="001A0DA6">
        <w:trPr>
          <w:trHeight w:val="612"/>
        </w:trPr>
        <w:tc>
          <w:tcPr>
            <w:tcW w:w="2376" w:type="dxa"/>
            <w:tcBorders>
              <w:top w:val="single" w:sz="4" w:space="0" w:color="auto"/>
              <w:left w:val="nil"/>
              <w:bottom w:val="single" w:sz="4" w:space="0" w:color="auto"/>
              <w:right w:val="nil"/>
            </w:tcBorders>
            <w:noWrap/>
            <w:vAlign w:val="center"/>
            <w:hideMark/>
          </w:tcPr>
          <w:p w14:paraId="24EA8720" w14:textId="77777777" w:rsidR="00031E4A" w:rsidRPr="00503E36" w:rsidRDefault="00031E4A" w:rsidP="000F5A99">
            <w:pPr>
              <w:jc w:val="center"/>
              <w:rPr>
                <w:sz w:val="22"/>
                <w:szCs w:val="22"/>
              </w:rPr>
            </w:pPr>
            <w:r w:rsidRPr="00503E36">
              <w:rPr>
                <w:sz w:val="22"/>
                <w:szCs w:val="22"/>
              </w:rPr>
              <w:t>Gooding</w:t>
            </w:r>
          </w:p>
        </w:tc>
        <w:tc>
          <w:tcPr>
            <w:tcW w:w="2180" w:type="dxa"/>
            <w:tcBorders>
              <w:top w:val="single" w:sz="4" w:space="0" w:color="auto"/>
              <w:left w:val="nil"/>
              <w:bottom w:val="single" w:sz="4" w:space="0" w:color="auto"/>
              <w:right w:val="nil"/>
            </w:tcBorders>
            <w:noWrap/>
            <w:vAlign w:val="center"/>
            <w:hideMark/>
          </w:tcPr>
          <w:p w14:paraId="75C65B1E" w14:textId="77777777" w:rsidR="00031E4A" w:rsidRDefault="00031E4A" w:rsidP="001A0DA6">
            <w:pPr>
              <w:jc w:val="center"/>
              <w:rPr>
                <w:rFonts w:eastAsia="Times New Roman"/>
                <w:color w:val="C00000"/>
                <w:sz w:val="22"/>
                <w:szCs w:val="22"/>
              </w:rPr>
            </w:pPr>
            <w:r w:rsidRPr="00503E36">
              <w:rPr>
                <w:rFonts w:eastAsia="Times New Roman"/>
                <w:color w:val="C00000"/>
                <w:sz w:val="22"/>
                <w:szCs w:val="22"/>
              </w:rPr>
              <w:t>-5.71%</w:t>
            </w:r>
          </w:p>
          <w:p w14:paraId="544E9916" w14:textId="55A289D4" w:rsidR="000F5A99" w:rsidRPr="00503E36" w:rsidRDefault="000F5A99" w:rsidP="001A0DA6">
            <w:pPr>
              <w:jc w:val="center"/>
              <w:rPr>
                <w:rFonts w:eastAsia="Times New Roman"/>
                <w:color w:val="C00000"/>
                <w:sz w:val="22"/>
                <w:szCs w:val="22"/>
              </w:rPr>
            </w:pPr>
            <w:r>
              <w:rPr>
                <w:rFonts w:eastAsia="Times New Roman"/>
                <w:color w:val="C00000"/>
                <w:sz w:val="22"/>
                <w:szCs w:val="22"/>
              </w:rPr>
              <w:t>(-2)</w:t>
            </w:r>
          </w:p>
        </w:tc>
        <w:tc>
          <w:tcPr>
            <w:tcW w:w="2360" w:type="dxa"/>
            <w:tcBorders>
              <w:top w:val="single" w:sz="4" w:space="0" w:color="auto"/>
              <w:left w:val="nil"/>
              <w:bottom w:val="single" w:sz="4" w:space="0" w:color="auto"/>
              <w:right w:val="nil"/>
            </w:tcBorders>
            <w:noWrap/>
            <w:vAlign w:val="center"/>
            <w:hideMark/>
          </w:tcPr>
          <w:p w14:paraId="6653BF40" w14:textId="7B975A24" w:rsidR="00031E4A" w:rsidRPr="00503E36" w:rsidRDefault="00031E4A" w:rsidP="001A0DA6">
            <w:pPr>
              <w:jc w:val="center"/>
              <w:rPr>
                <w:rFonts w:eastAsia="Times New Roman"/>
                <w:b/>
                <w:color w:val="000000"/>
                <w:sz w:val="22"/>
                <w:szCs w:val="22"/>
              </w:rPr>
            </w:pPr>
            <w:r w:rsidRPr="00503E36">
              <w:rPr>
                <w:rFonts w:eastAsia="Times New Roman"/>
                <w:color w:val="000000"/>
                <w:sz w:val="22"/>
                <w:szCs w:val="22"/>
              </w:rPr>
              <w:t>$162,</w:t>
            </w:r>
            <w:r w:rsidR="001A0DA6">
              <w:rPr>
                <w:rFonts w:eastAsia="Times New Roman"/>
                <w:color w:val="000000"/>
                <w:sz w:val="22"/>
                <w:szCs w:val="22"/>
              </w:rPr>
              <w:t>000</w:t>
            </w:r>
          </w:p>
        </w:tc>
        <w:tc>
          <w:tcPr>
            <w:tcW w:w="1715" w:type="dxa"/>
            <w:tcBorders>
              <w:top w:val="single" w:sz="4" w:space="0" w:color="auto"/>
              <w:left w:val="nil"/>
              <w:bottom w:val="single" w:sz="4" w:space="0" w:color="auto"/>
              <w:right w:val="nil"/>
            </w:tcBorders>
            <w:vAlign w:val="center"/>
          </w:tcPr>
          <w:p w14:paraId="35DCE76C" w14:textId="6D19F5C4" w:rsidR="00031E4A" w:rsidRPr="00503E36" w:rsidRDefault="005F3E75" w:rsidP="001A0DA6">
            <w:pPr>
              <w:jc w:val="center"/>
              <w:rPr>
                <w:rFonts w:eastAsia="Times New Roman"/>
                <w:color w:val="000000"/>
                <w:sz w:val="22"/>
                <w:szCs w:val="22"/>
              </w:rPr>
            </w:pPr>
            <w:r>
              <w:rPr>
                <w:rFonts w:eastAsia="Times New Roman"/>
                <w:color w:val="000000"/>
                <w:sz w:val="22"/>
                <w:szCs w:val="22"/>
              </w:rPr>
              <w:t>$38,000</w:t>
            </w:r>
          </w:p>
        </w:tc>
      </w:tr>
      <w:tr w:rsidR="00031E4A" w:rsidRPr="00503E36" w14:paraId="5B25D06F" w14:textId="77777777" w:rsidTr="001A0DA6">
        <w:trPr>
          <w:trHeight w:val="612"/>
        </w:trPr>
        <w:tc>
          <w:tcPr>
            <w:tcW w:w="2376" w:type="dxa"/>
            <w:tcBorders>
              <w:top w:val="single" w:sz="4" w:space="0" w:color="auto"/>
              <w:left w:val="nil"/>
              <w:bottom w:val="single" w:sz="4" w:space="0" w:color="auto"/>
              <w:right w:val="nil"/>
            </w:tcBorders>
            <w:noWrap/>
            <w:vAlign w:val="center"/>
            <w:hideMark/>
          </w:tcPr>
          <w:p w14:paraId="7BEBC5B8" w14:textId="77777777" w:rsidR="00031E4A" w:rsidRPr="00503E36" w:rsidRDefault="00031E4A" w:rsidP="000F5A99">
            <w:pPr>
              <w:jc w:val="center"/>
              <w:rPr>
                <w:sz w:val="22"/>
                <w:szCs w:val="22"/>
              </w:rPr>
            </w:pPr>
            <w:proofErr w:type="spellStart"/>
            <w:r w:rsidRPr="00503E36">
              <w:rPr>
                <w:sz w:val="22"/>
                <w:szCs w:val="22"/>
              </w:rPr>
              <w:t>Camas</w:t>
            </w:r>
            <w:proofErr w:type="spellEnd"/>
          </w:p>
        </w:tc>
        <w:tc>
          <w:tcPr>
            <w:tcW w:w="2180" w:type="dxa"/>
            <w:tcBorders>
              <w:top w:val="single" w:sz="4" w:space="0" w:color="auto"/>
              <w:left w:val="nil"/>
              <w:bottom w:val="single" w:sz="4" w:space="0" w:color="auto"/>
              <w:right w:val="nil"/>
            </w:tcBorders>
            <w:noWrap/>
            <w:vAlign w:val="center"/>
            <w:hideMark/>
          </w:tcPr>
          <w:p w14:paraId="578E74A3" w14:textId="77777777" w:rsidR="00031E4A" w:rsidRDefault="00031E4A" w:rsidP="001A0DA6">
            <w:pPr>
              <w:jc w:val="center"/>
              <w:rPr>
                <w:rFonts w:eastAsia="Times New Roman"/>
                <w:color w:val="C00000"/>
                <w:sz w:val="22"/>
                <w:szCs w:val="22"/>
              </w:rPr>
            </w:pPr>
            <w:r w:rsidRPr="00503E36">
              <w:rPr>
                <w:rFonts w:eastAsia="Times New Roman"/>
                <w:color w:val="C00000"/>
                <w:sz w:val="22"/>
                <w:szCs w:val="22"/>
              </w:rPr>
              <w:t>-25.00%</w:t>
            </w:r>
          </w:p>
          <w:p w14:paraId="1F0D2C71" w14:textId="0F1D7D44" w:rsidR="000F5A99" w:rsidRPr="00503E36" w:rsidRDefault="000F5A99" w:rsidP="001A0DA6">
            <w:pPr>
              <w:jc w:val="center"/>
              <w:rPr>
                <w:rFonts w:eastAsia="Times New Roman"/>
                <w:color w:val="C00000"/>
                <w:sz w:val="22"/>
                <w:szCs w:val="22"/>
              </w:rPr>
            </w:pPr>
            <w:r>
              <w:rPr>
                <w:rFonts w:eastAsia="Times New Roman"/>
                <w:color w:val="C00000"/>
                <w:sz w:val="22"/>
                <w:szCs w:val="22"/>
              </w:rPr>
              <w:t>(-1)</w:t>
            </w:r>
          </w:p>
        </w:tc>
        <w:tc>
          <w:tcPr>
            <w:tcW w:w="2360" w:type="dxa"/>
            <w:tcBorders>
              <w:top w:val="single" w:sz="4" w:space="0" w:color="auto"/>
              <w:left w:val="nil"/>
              <w:bottom w:val="single" w:sz="4" w:space="0" w:color="auto"/>
              <w:right w:val="nil"/>
            </w:tcBorders>
            <w:noWrap/>
            <w:vAlign w:val="center"/>
            <w:hideMark/>
          </w:tcPr>
          <w:p w14:paraId="576EA39F" w14:textId="1A1FEA7E" w:rsidR="00031E4A" w:rsidRPr="00503E36" w:rsidRDefault="00031E4A" w:rsidP="001A0DA6">
            <w:pPr>
              <w:jc w:val="center"/>
              <w:rPr>
                <w:rFonts w:eastAsia="Times New Roman"/>
                <w:b/>
                <w:color w:val="000000"/>
                <w:sz w:val="22"/>
                <w:szCs w:val="22"/>
              </w:rPr>
            </w:pPr>
            <w:r w:rsidRPr="00503E36">
              <w:rPr>
                <w:rFonts w:eastAsia="Times New Roman"/>
                <w:color w:val="DD0806"/>
                <w:sz w:val="22"/>
                <w:szCs w:val="22"/>
              </w:rPr>
              <w:t>($5,</w:t>
            </w:r>
            <w:r w:rsidR="001A0DA6">
              <w:rPr>
                <w:rFonts w:eastAsia="Times New Roman"/>
                <w:color w:val="DD0806"/>
                <w:sz w:val="22"/>
                <w:szCs w:val="22"/>
              </w:rPr>
              <w:t>000</w:t>
            </w:r>
            <w:r w:rsidRPr="00503E36">
              <w:rPr>
                <w:rFonts w:eastAsia="Times New Roman"/>
                <w:color w:val="DD0806"/>
                <w:sz w:val="22"/>
                <w:szCs w:val="22"/>
              </w:rPr>
              <w:t>)</w:t>
            </w:r>
          </w:p>
        </w:tc>
        <w:tc>
          <w:tcPr>
            <w:tcW w:w="1715" w:type="dxa"/>
            <w:tcBorders>
              <w:top w:val="single" w:sz="4" w:space="0" w:color="auto"/>
              <w:left w:val="nil"/>
              <w:bottom w:val="single" w:sz="4" w:space="0" w:color="auto"/>
              <w:right w:val="nil"/>
            </w:tcBorders>
            <w:vAlign w:val="center"/>
          </w:tcPr>
          <w:p w14:paraId="4A87E9EC" w14:textId="5D231E0C" w:rsidR="00031E4A" w:rsidRPr="00503E36" w:rsidRDefault="005F3E75" w:rsidP="001A0DA6">
            <w:pPr>
              <w:jc w:val="center"/>
              <w:rPr>
                <w:rFonts w:eastAsia="Times New Roman"/>
                <w:color w:val="DD0806"/>
                <w:sz w:val="22"/>
                <w:szCs w:val="22"/>
              </w:rPr>
            </w:pPr>
            <w:r w:rsidRPr="005F3E75">
              <w:rPr>
                <w:rFonts w:eastAsia="Times New Roman"/>
                <w:color w:val="000000" w:themeColor="text1"/>
                <w:sz w:val="22"/>
                <w:szCs w:val="22"/>
              </w:rPr>
              <w:t>$2,000</w:t>
            </w:r>
          </w:p>
        </w:tc>
      </w:tr>
      <w:tr w:rsidR="00031E4A" w:rsidRPr="00503E36" w14:paraId="7B98DD40" w14:textId="77777777" w:rsidTr="001A0DA6">
        <w:trPr>
          <w:trHeight w:val="575"/>
        </w:trPr>
        <w:tc>
          <w:tcPr>
            <w:tcW w:w="2376" w:type="dxa"/>
            <w:tcBorders>
              <w:top w:val="single" w:sz="4" w:space="0" w:color="auto"/>
              <w:left w:val="nil"/>
              <w:bottom w:val="single" w:sz="4" w:space="0" w:color="auto"/>
              <w:right w:val="nil"/>
            </w:tcBorders>
            <w:noWrap/>
            <w:vAlign w:val="center"/>
            <w:hideMark/>
          </w:tcPr>
          <w:p w14:paraId="54BA1A06" w14:textId="77777777" w:rsidR="00031E4A" w:rsidRPr="00503E36" w:rsidRDefault="00031E4A" w:rsidP="000F5A99">
            <w:pPr>
              <w:jc w:val="center"/>
              <w:rPr>
                <w:b/>
                <w:sz w:val="22"/>
                <w:szCs w:val="22"/>
              </w:rPr>
            </w:pPr>
            <w:r w:rsidRPr="00503E36">
              <w:rPr>
                <w:b/>
                <w:sz w:val="22"/>
                <w:szCs w:val="22"/>
              </w:rPr>
              <w:t>Central Region</w:t>
            </w:r>
          </w:p>
        </w:tc>
        <w:tc>
          <w:tcPr>
            <w:tcW w:w="2180" w:type="dxa"/>
            <w:tcBorders>
              <w:top w:val="single" w:sz="4" w:space="0" w:color="auto"/>
              <w:left w:val="nil"/>
              <w:bottom w:val="single" w:sz="4" w:space="0" w:color="auto"/>
              <w:right w:val="nil"/>
            </w:tcBorders>
            <w:noWrap/>
            <w:vAlign w:val="center"/>
            <w:hideMark/>
          </w:tcPr>
          <w:p w14:paraId="795B4A54" w14:textId="77777777" w:rsidR="00031E4A" w:rsidRDefault="00031E4A" w:rsidP="001A0DA6">
            <w:pPr>
              <w:jc w:val="center"/>
              <w:rPr>
                <w:rFonts w:eastAsia="Times New Roman"/>
                <w:color w:val="000000"/>
                <w:sz w:val="22"/>
                <w:szCs w:val="22"/>
              </w:rPr>
            </w:pPr>
            <w:r w:rsidRPr="00503E36">
              <w:rPr>
                <w:rFonts w:eastAsia="Times New Roman"/>
                <w:color w:val="000000"/>
                <w:sz w:val="22"/>
                <w:szCs w:val="22"/>
              </w:rPr>
              <w:t>1.</w:t>
            </w:r>
            <w:r w:rsidR="00675558" w:rsidRPr="00503E36">
              <w:rPr>
                <w:rFonts w:eastAsia="Times New Roman"/>
                <w:color w:val="000000"/>
                <w:sz w:val="22"/>
                <w:szCs w:val="22"/>
              </w:rPr>
              <w:t>41</w:t>
            </w:r>
            <w:r w:rsidRPr="00503E36">
              <w:rPr>
                <w:rFonts w:eastAsia="Times New Roman"/>
                <w:color w:val="000000"/>
                <w:sz w:val="22"/>
                <w:szCs w:val="22"/>
              </w:rPr>
              <w:t>%</w:t>
            </w:r>
          </w:p>
          <w:p w14:paraId="02854102" w14:textId="3E3F744C" w:rsidR="000F5A99" w:rsidRPr="00503E36" w:rsidRDefault="000F5A99" w:rsidP="001A0DA6">
            <w:pPr>
              <w:jc w:val="center"/>
              <w:rPr>
                <w:rFonts w:eastAsia="Times New Roman"/>
                <w:color w:val="000000"/>
                <w:sz w:val="22"/>
                <w:szCs w:val="22"/>
              </w:rPr>
            </w:pPr>
            <w:r>
              <w:rPr>
                <w:rFonts w:eastAsia="Times New Roman"/>
                <w:color w:val="000000"/>
                <w:sz w:val="22"/>
                <w:szCs w:val="22"/>
              </w:rPr>
              <w:t>(+13)</w:t>
            </w:r>
          </w:p>
        </w:tc>
        <w:tc>
          <w:tcPr>
            <w:tcW w:w="2360" w:type="dxa"/>
            <w:tcBorders>
              <w:top w:val="single" w:sz="4" w:space="0" w:color="auto"/>
              <w:left w:val="nil"/>
              <w:bottom w:val="single" w:sz="4" w:space="0" w:color="auto"/>
              <w:right w:val="nil"/>
            </w:tcBorders>
            <w:noWrap/>
            <w:vAlign w:val="center"/>
            <w:hideMark/>
          </w:tcPr>
          <w:p w14:paraId="4D1BA19F" w14:textId="7CB448DB" w:rsidR="00031E4A" w:rsidRPr="00503E36" w:rsidRDefault="001A0DA6" w:rsidP="001A0DA6">
            <w:pPr>
              <w:jc w:val="center"/>
              <w:rPr>
                <w:rFonts w:eastAsia="Times New Roman"/>
                <w:b/>
                <w:color w:val="000000"/>
                <w:sz w:val="22"/>
                <w:szCs w:val="22"/>
              </w:rPr>
            </w:pPr>
            <w:r>
              <w:rPr>
                <w:rFonts w:eastAsia="Times New Roman"/>
                <w:b/>
                <w:bCs/>
                <w:color w:val="000000"/>
                <w:sz w:val="22"/>
                <w:szCs w:val="22"/>
              </w:rPr>
              <w:t>$3.2 million</w:t>
            </w:r>
          </w:p>
        </w:tc>
        <w:tc>
          <w:tcPr>
            <w:tcW w:w="1715" w:type="dxa"/>
            <w:tcBorders>
              <w:top w:val="single" w:sz="4" w:space="0" w:color="auto"/>
              <w:left w:val="nil"/>
              <w:bottom w:val="single" w:sz="4" w:space="0" w:color="auto"/>
              <w:right w:val="nil"/>
            </w:tcBorders>
            <w:vAlign w:val="center"/>
          </w:tcPr>
          <w:p w14:paraId="38143DEF" w14:textId="0F134C0D" w:rsidR="00031E4A" w:rsidRPr="00503E36" w:rsidRDefault="006569BF" w:rsidP="001A0DA6">
            <w:pPr>
              <w:jc w:val="center"/>
              <w:rPr>
                <w:rFonts w:eastAsia="Times New Roman"/>
                <w:b/>
                <w:bCs/>
                <w:color w:val="000000"/>
                <w:sz w:val="22"/>
                <w:szCs w:val="22"/>
              </w:rPr>
            </w:pPr>
            <w:r w:rsidRPr="00503E36">
              <w:rPr>
                <w:rFonts w:eastAsia="Times New Roman"/>
                <w:b/>
                <w:bCs/>
                <w:color w:val="000000"/>
                <w:sz w:val="22"/>
                <w:szCs w:val="22"/>
              </w:rPr>
              <w:t>$</w:t>
            </w:r>
            <w:r w:rsidR="005F3E75">
              <w:rPr>
                <w:rFonts w:eastAsia="Times New Roman"/>
                <w:b/>
                <w:bCs/>
                <w:color w:val="000000"/>
                <w:sz w:val="22"/>
                <w:szCs w:val="22"/>
              </w:rPr>
              <w:t>2.4 million</w:t>
            </w:r>
          </w:p>
        </w:tc>
      </w:tr>
    </w:tbl>
    <w:p w14:paraId="326CE1E1" w14:textId="77777777" w:rsidR="00031E4A" w:rsidRDefault="00031E4A" w:rsidP="00031E4A">
      <w:pPr>
        <w:rPr>
          <w:b/>
          <w:color w:val="000000" w:themeColor="text1"/>
          <w:sz w:val="22"/>
          <w:szCs w:val="22"/>
        </w:rPr>
      </w:pPr>
    </w:p>
    <w:p w14:paraId="6EF7A0F6" w14:textId="77777777" w:rsidR="00E83009" w:rsidRDefault="00E83009" w:rsidP="00031E4A">
      <w:pPr>
        <w:rPr>
          <w:b/>
          <w:color w:val="000000" w:themeColor="text1"/>
        </w:rPr>
      </w:pPr>
    </w:p>
    <w:p w14:paraId="38D2079E" w14:textId="4B17E60D" w:rsidR="00031E4A" w:rsidRPr="00A2154B" w:rsidRDefault="00E83009" w:rsidP="00031E4A">
      <w:pPr>
        <w:rPr>
          <w:b/>
          <w:bCs/>
          <w:color w:val="000000" w:themeColor="text1"/>
          <w:sz w:val="22"/>
          <w:szCs w:val="22"/>
        </w:rPr>
      </w:pPr>
      <w:r w:rsidRPr="00A2154B">
        <w:rPr>
          <w:b/>
          <w:color w:val="000000" w:themeColor="text1"/>
          <w:sz w:val="22"/>
          <w:szCs w:val="22"/>
        </w:rPr>
        <w:t xml:space="preserve">Note: </w:t>
      </w:r>
      <w:r w:rsidRPr="00A2154B">
        <w:rPr>
          <w:color w:val="000000" w:themeColor="text1"/>
          <w:sz w:val="22"/>
          <w:szCs w:val="22"/>
        </w:rPr>
        <w:t>Reduction in account ownership or savings may be a result of account owners using funds for qualified higher education expenses or closing the accounts.</w:t>
      </w:r>
      <w:r w:rsidRPr="00A2154B">
        <w:rPr>
          <w:b/>
          <w:color w:val="000000" w:themeColor="text1"/>
          <w:sz w:val="22"/>
          <w:szCs w:val="22"/>
        </w:rPr>
        <w:t xml:space="preserve"> </w:t>
      </w:r>
      <w:r w:rsidRPr="00A2154B">
        <w:rPr>
          <w:color w:val="000000" w:themeColor="text1"/>
          <w:sz w:val="22"/>
          <w:szCs w:val="22"/>
        </w:rPr>
        <w:t>Numbers reported here are rounded.</w:t>
      </w:r>
      <w:r w:rsidRPr="00A2154B">
        <w:rPr>
          <w:b/>
          <w:color w:val="000000" w:themeColor="text1"/>
          <w:sz w:val="22"/>
          <w:szCs w:val="22"/>
        </w:rPr>
        <w:t xml:space="preserve"> </w:t>
      </w:r>
      <w:r w:rsidR="00034AED" w:rsidRPr="00A2154B">
        <w:rPr>
          <w:color w:val="000000" w:themeColor="text1"/>
          <w:sz w:val="22"/>
          <w:szCs w:val="22"/>
        </w:rPr>
        <w:t xml:space="preserve">Data reported in this report compares 9/30/2016 to 9/30/2017. </w:t>
      </w:r>
      <w:r w:rsidR="00031E4A" w:rsidRPr="00A2154B">
        <w:rPr>
          <w:b/>
          <w:color w:val="000000" w:themeColor="text1"/>
          <w:sz w:val="22"/>
          <w:szCs w:val="22"/>
        </w:rPr>
        <w:br w:type="page"/>
      </w:r>
    </w:p>
    <w:p w14:paraId="6C7B057F" w14:textId="77777777" w:rsidR="00031E4A" w:rsidRDefault="00031E4A" w:rsidP="00031E4A">
      <w:pPr>
        <w:rPr>
          <w:b/>
          <w:bCs/>
          <w:color w:val="000000" w:themeColor="text1"/>
          <w:sz w:val="32"/>
        </w:rPr>
      </w:pPr>
      <w:r>
        <w:rPr>
          <w:b/>
          <w:bCs/>
          <w:color w:val="000000" w:themeColor="text1"/>
          <w:sz w:val="32"/>
        </w:rPr>
        <w:lastRenderedPageBreak/>
        <w:t xml:space="preserve">Central Idaho Case Study: Tamara </w:t>
      </w:r>
      <w:proofErr w:type="spellStart"/>
      <w:r>
        <w:rPr>
          <w:b/>
          <w:bCs/>
          <w:color w:val="000000" w:themeColor="text1"/>
          <w:sz w:val="32"/>
        </w:rPr>
        <w:t>Satterwhite</w:t>
      </w:r>
      <w:proofErr w:type="spellEnd"/>
    </w:p>
    <w:p w14:paraId="468ED5D1" w14:textId="77777777" w:rsidR="00031E4A" w:rsidRDefault="00031E4A" w:rsidP="00031E4A">
      <w:pPr>
        <w:rPr>
          <w:bCs/>
          <w:color w:val="000000" w:themeColor="text1"/>
          <w:sz w:val="22"/>
        </w:rPr>
      </w:pPr>
    </w:p>
    <w:p w14:paraId="70AD965A" w14:textId="77777777" w:rsidR="00031E4A" w:rsidRDefault="00031E4A" w:rsidP="00031E4A">
      <w:pPr>
        <w:rPr>
          <w:bCs/>
          <w:color w:val="000000" w:themeColor="text1"/>
          <w:sz w:val="22"/>
        </w:rPr>
      </w:pPr>
      <w:r>
        <w:rPr>
          <w:bCs/>
          <w:color w:val="000000" w:themeColor="text1"/>
          <w:sz w:val="22"/>
        </w:rPr>
        <w:t xml:space="preserve">Tamara </w:t>
      </w:r>
      <w:proofErr w:type="spellStart"/>
      <w:r>
        <w:rPr>
          <w:bCs/>
          <w:color w:val="000000" w:themeColor="text1"/>
          <w:sz w:val="22"/>
        </w:rPr>
        <w:t>Satterwhite</w:t>
      </w:r>
      <w:proofErr w:type="spellEnd"/>
      <w:r>
        <w:rPr>
          <w:bCs/>
          <w:color w:val="000000" w:themeColor="text1"/>
          <w:sz w:val="22"/>
        </w:rPr>
        <w:t xml:space="preserve">, of Twin Falls, loves collecting Idaho wildflowers.  Someday, she might be able to make a career of her hobby. “I want to go into plant sciences. I really like plants, collecting them, categorizing them, and learning their names,” she says. Thanks to her </w:t>
      </w:r>
      <w:proofErr w:type="spellStart"/>
      <w:r>
        <w:rPr>
          <w:bCs/>
          <w:color w:val="000000" w:themeColor="text1"/>
          <w:sz w:val="22"/>
        </w:rPr>
        <w:t>IDeal</w:t>
      </w:r>
      <w:proofErr w:type="spellEnd"/>
      <w:r>
        <w:rPr>
          <w:bCs/>
          <w:color w:val="000000" w:themeColor="text1"/>
          <w:sz w:val="22"/>
        </w:rPr>
        <w:t xml:space="preserve">—Idaho 529 College Savings Account, that dream has a good chance of becoming a reality. </w:t>
      </w:r>
    </w:p>
    <w:p w14:paraId="4E6DFC52" w14:textId="77777777" w:rsidR="00031E4A" w:rsidRDefault="00031E4A" w:rsidP="00031E4A">
      <w:pPr>
        <w:rPr>
          <w:bCs/>
          <w:color w:val="000000" w:themeColor="text1"/>
          <w:sz w:val="22"/>
        </w:rPr>
      </w:pPr>
    </w:p>
    <w:p w14:paraId="6C75B8EB" w14:textId="19114627" w:rsidR="00031E4A" w:rsidRDefault="00031E4A" w:rsidP="00031E4A">
      <w:pPr>
        <w:rPr>
          <w:bCs/>
          <w:color w:val="000000" w:themeColor="text1"/>
          <w:sz w:val="22"/>
        </w:rPr>
      </w:pPr>
      <w:r>
        <w:rPr>
          <w:bCs/>
          <w:color w:val="000000" w:themeColor="text1"/>
          <w:sz w:val="22"/>
        </w:rPr>
        <w:t xml:space="preserve">Tamara’s mother has been saving for college with </w:t>
      </w:r>
      <w:proofErr w:type="spellStart"/>
      <w:r>
        <w:rPr>
          <w:bCs/>
          <w:color w:val="000000" w:themeColor="text1"/>
          <w:sz w:val="22"/>
        </w:rPr>
        <w:t>IDeal</w:t>
      </w:r>
      <w:proofErr w:type="spellEnd"/>
      <w:r>
        <w:rPr>
          <w:bCs/>
          <w:color w:val="000000" w:themeColor="text1"/>
          <w:sz w:val="22"/>
        </w:rPr>
        <w:t>—Idaho Colle</w:t>
      </w:r>
      <w:r w:rsidR="0061445B">
        <w:rPr>
          <w:bCs/>
          <w:color w:val="000000" w:themeColor="text1"/>
          <w:sz w:val="22"/>
        </w:rPr>
        <w:t>g</w:t>
      </w:r>
      <w:r>
        <w:rPr>
          <w:bCs/>
          <w:color w:val="000000" w:themeColor="text1"/>
          <w:sz w:val="22"/>
        </w:rPr>
        <w:t xml:space="preserve">e Savings Program since Tamara and her sister, Miranda, were young children. “She put money aside every paycheck,” notes Tamara. </w:t>
      </w:r>
    </w:p>
    <w:p w14:paraId="7B43F51F" w14:textId="77777777" w:rsidR="00031E4A" w:rsidRDefault="00031E4A" w:rsidP="00031E4A">
      <w:pPr>
        <w:rPr>
          <w:bCs/>
          <w:color w:val="000000" w:themeColor="text1"/>
          <w:sz w:val="22"/>
        </w:rPr>
      </w:pPr>
    </w:p>
    <w:p w14:paraId="791F99DF" w14:textId="77777777" w:rsidR="00031E4A" w:rsidRDefault="00031E4A" w:rsidP="00031E4A">
      <w:pPr>
        <w:rPr>
          <w:bCs/>
          <w:color w:val="000000" w:themeColor="text1"/>
          <w:sz w:val="22"/>
        </w:rPr>
      </w:pPr>
      <w:r>
        <w:rPr>
          <w:bCs/>
          <w:color w:val="000000" w:themeColor="text1"/>
          <w:sz w:val="22"/>
        </w:rPr>
        <w:t xml:space="preserve">Tamara started her higher education journey at College of Southern Idaho. When her first tuition payment came due for $2,000, she turned to her </w:t>
      </w:r>
      <w:proofErr w:type="spellStart"/>
      <w:r>
        <w:rPr>
          <w:bCs/>
          <w:color w:val="000000" w:themeColor="text1"/>
          <w:sz w:val="22"/>
        </w:rPr>
        <w:t>IDeal</w:t>
      </w:r>
      <w:proofErr w:type="spellEnd"/>
      <w:r>
        <w:rPr>
          <w:bCs/>
          <w:color w:val="000000" w:themeColor="text1"/>
          <w:sz w:val="22"/>
        </w:rPr>
        <w:t xml:space="preserve"> account to make the payment. “It made my payments to CSI only $100 a month,” she says. </w:t>
      </w:r>
    </w:p>
    <w:p w14:paraId="4C5F0AB4" w14:textId="77777777" w:rsidR="00031E4A" w:rsidRDefault="00031E4A" w:rsidP="00031E4A">
      <w:pPr>
        <w:rPr>
          <w:bCs/>
          <w:color w:val="000000" w:themeColor="text1"/>
          <w:sz w:val="22"/>
        </w:rPr>
      </w:pPr>
    </w:p>
    <w:p w14:paraId="752A7D9E" w14:textId="77777777" w:rsidR="00031E4A" w:rsidRDefault="00031E4A" w:rsidP="00031E4A">
      <w:pPr>
        <w:rPr>
          <w:bCs/>
          <w:color w:val="000000" w:themeColor="text1"/>
          <w:sz w:val="22"/>
        </w:rPr>
      </w:pPr>
      <w:r>
        <w:rPr>
          <w:bCs/>
          <w:color w:val="000000" w:themeColor="text1"/>
          <w:sz w:val="22"/>
        </w:rPr>
        <w:t xml:space="preserve">At twenty years old, Tamara now manages her own </w:t>
      </w:r>
      <w:proofErr w:type="spellStart"/>
      <w:r>
        <w:rPr>
          <w:bCs/>
          <w:color w:val="000000" w:themeColor="text1"/>
          <w:sz w:val="22"/>
        </w:rPr>
        <w:t>IDeal</w:t>
      </w:r>
      <w:proofErr w:type="spellEnd"/>
      <w:r>
        <w:rPr>
          <w:bCs/>
          <w:color w:val="000000" w:themeColor="text1"/>
          <w:sz w:val="22"/>
        </w:rPr>
        <w:t xml:space="preserve"> account, and even contributes part of her paycheck to the account for post-graduate schooling. She’s an avid evangelist for the program: she urged her boyfriend to start his own 529 account, and tells her grandmother to contribute to the account in lieu of monetary gifts. </w:t>
      </w:r>
    </w:p>
    <w:p w14:paraId="7A221B9E" w14:textId="77777777" w:rsidR="00031E4A" w:rsidRDefault="00031E4A" w:rsidP="00031E4A">
      <w:pPr>
        <w:rPr>
          <w:bCs/>
          <w:color w:val="000000" w:themeColor="text1"/>
          <w:sz w:val="22"/>
        </w:rPr>
      </w:pPr>
    </w:p>
    <w:p w14:paraId="098A7B1B" w14:textId="248B2991" w:rsidR="00031E4A" w:rsidRDefault="00031E4A" w:rsidP="00031E4A">
      <w:pPr>
        <w:rPr>
          <w:bCs/>
          <w:color w:val="000000" w:themeColor="text1"/>
          <w:sz w:val="22"/>
        </w:rPr>
      </w:pPr>
      <w:r>
        <w:rPr>
          <w:bCs/>
          <w:color w:val="000000" w:themeColor="text1"/>
          <w:sz w:val="22"/>
        </w:rPr>
        <w:t xml:space="preserve">Tamara got a big break when she was hired by an employer that offers tuition reimbursement through Arizona State University's online program. She transferred to the university and uses her remaining </w:t>
      </w:r>
      <w:proofErr w:type="spellStart"/>
      <w:r>
        <w:rPr>
          <w:bCs/>
          <w:color w:val="000000" w:themeColor="text1"/>
          <w:sz w:val="22"/>
        </w:rPr>
        <w:t>IDeal</w:t>
      </w:r>
      <w:proofErr w:type="spellEnd"/>
      <w:r>
        <w:rPr>
          <w:bCs/>
          <w:color w:val="000000" w:themeColor="text1"/>
          <w:sz w:val="22"/>
        </w:rPr>
        <w:t xml:space="preserve"> funds help pay for books. She expects to finish a Bachelor of Science in Biochemistry two years from now, debt-free. She credits her mother, Angela Hubbard, for the sacrifices she made to provide her with an easier path to higher education. In fact, Angela just finished a bachelor’s degree last year. “It’s important to her that we have opportunities she didn’t have until later in life,” says Tamara. </w:t>
      </w:r>
    </w:p>
    <w:p w14:paraId="20A17448" w14:textId="77777777" w:rsidR="00031E4A" w:rsidRDefault="00031E4A" w:rsidP="00031E4A">
      <w:pPr>
        <w:rPr>
          <w:bCs/>
          <w:color w:val="000000" w:themeColor="text1"/>
          <w:sz w:val="22"/>
        </w:rPr>
      </w:pPr>
    </w:p>
    <w:p w14:paraId="4E782071" w14:textId="3F58DEB5" w:rsidR="00031E4A" w:rsidRDefault="00031E4A" w:rsidP="00031E4A">
      <w:pPr>
        <w:rPr>
          <w:bCs/>
          <w:color w:val="000000" w:themeColor="text1"/>
          <w:sz w:val="22"/>
        </w:rPr>
      </w:pPr>
      <w:r>
        <w:rPr>
          <w:bCs/>
          <w:color w:val="000000" w:themeColor="text1"/>
          <w:sz w:val="22"/>
        </w:rPr>
        <w:t xml:space="preserve">Thanks to her mother’s dedication to saving, one of those opportunities Tamara gets to capitalize on is the ability to travel. “The only reason I’ve been able to do that is because I had </w:t>
      </w:r>
      <w:proofErr w:type="spellStart"/>
      <w:r>
        <w:rPr>
          <w:bCs/>
          <w:color w:val="000000" w:themeColor="text1"/>
          <w:sz w:val="22"/>
        </w:rPr>
        <w:t>IDeal</w:t>
      </w:r>
      <w:proofErr w:type="spellEnd"/>
      <w:r>
        <w:rPr>
          <w:bCs/>
          <w:color w:val="000000" w:themeColor="text1"/>
          <w:sz w:val="22"/>
        </w:rPr>
        <w:t xml:space="preserve">. Going to school is important, but living your life is also important,” she says. </w:t>
      </w:r>
    </w:p>
    <w:p w14:paraId="71817B52" w14:textId="77777777" w:rsidR="00031E4A" w:rsidRDefault="00031E4A" w:rsidP="00031E4A">
      <w:pPr>
        <w:rPr>
          <w:b/>
          <w:color w:val="000000" w:themeColor="text1"/>
          <w:szCs w:val="22"/>
        </w:rPr>
      </w:pPr>
      <w:r>
        <w:rPr>
          <w:b/>
          <w:color w:val="000000" w:themeColor="text1"/>
          <w:sz w:val="22"/>
          <w:szCs w:val="22"/>
        </w:rPr>
        <w:br w:type="page"/>
      </w:r>
      <w:r>
        <w:rPr>
          <w:b/>
          <w:bCs/>
          <w:color w:val="000000" w:themeColor="text1"/>
          <w:sz w:val="32"/>
        </w:rPr>
        <w:lastRenderedPageBreak/>
        <w:t>Eastern Idaho Findings</w:t>
      </w:r>
    </w:p>
    <w:p w14:paraId="0F64E4B0" w14:textId="77777777" w:rsidR="00031E4A" w:rsidRDefault="00031E4A" w:rsidP="00031E4A">
      <w:pPr>
        <w:rPr>
          <w:b/>
          <w:bCs/>
          <w:color w:val="000000" w:themeColor="text1"/>
          <w:sz w:val="32"/>
        </w:rPr>
      </w:pPr>
    </w:p>
    <w:p w14:paraId="2CA5FCFE" w14:textId="2241EF6D" w:rsidR="00031E4A" w:rsidRPr="001D08F0" w:rsidRDefault="00031E4A" w:rsidP="00031E4A">
      <w:pPr>
        <w:pStyle w:val="ListParagraph"/>
        <w:numPr>
          <w:ilvl w:val="0"/>
          <w:numId w:val="4"/>
        </w:numPr>
        <w:rPr>
          <w:rFonts w:ascii="Times New Roman" w:hAnsi="Times New Roman" w:cs="Times New Roman"/>
          <w:color w:val="000000" w:themeColor="text1"/>
          <w:sz w:val="22"/>
          <w:szCs w:val="22"/>
        </w:rPr>
      </w:pPr>
      <w:r w:rsidRPr="001D08F0">
        <w:rPr>
          <w:rFonts w:ascii="Times New Roman" w:hAnsi="Times New Roman" w:cs="Times New Roman"/>
          <w:color w:val="000000" w:themeColor="text1"/>
          <w:sz w:val="22"/>
          <w:szCs w:val="22"/>
        </w:rPr>
        <w:t xml:space="preserve">Eastern Idaho families have $3.7 million more in their </w:t>
      </w:r>
      <w:proofErr w:type="spellStart"/>
      <w:r w:rsidRPr="001D08F0">
        <w:rPr>
          <w:rFonts w:ascii="Times New Roman" w:hAnsi="Times New Roman" w:cs="Times New Roman"/>
          <w:color w:val="000000" w:themeColor="text1"/>
          <w:sz w:val="22"/>
          <w:szCs w:val="22"/>
        </w:rPr>
        <w:t>IDeal</w:t>
      </w:r>
      <w:proofErr w:type="spellEnd"/>
      <w:r w:rsidRPr="001D08F0">
        <w:rPr>
          <w:rFonts w:ascii="Times New Roman" w:hAnsi="Times New Roman" w:cs="Times New Roman"/>
          <w:color w:val="000000" w:themeColor="text1"/>
          <w:sz w:val="22"/>
          <w:szCs w:val="22"/>
        </w:rPr>
        <w:t xml:space="preserve"> college savings accounts than they did a year</w:t>
      </w:r>
      <w:r w:rsidR="00A2154B">
        <w:rPr>
          <w:rFonts w:ascii="Times New Roman" w:hAnsi="Times New Roman" w:cs="Times New Roman"/>
          <w:color w:val="000000" w:themeColor="text1"/>
          <w:sz w:val="22"/>
          <w:szCs w:val="22"/>
        </w:rPr>
        <w:t xml:space="preserve"> prior</w:t>
      </w:r>
      <w:r w:rsidRPr="001D08F0">
        <w:rPr>
          <w:rFonts w:ascii="Times New Roman" w:hAnsi="Times New Roman" w:cs="Times New Roman"/>
          <w:color w:val="000000" w:themeColor="text1"/>
          <w:sz w:val="22"/>
          <w:szCs w:val="22"/>
        </w:rPr>
        <w:t xml:space="preserve">. </w:t>
      </w:r>
      <w:r w:rsidRPr="001D08F0">
        <w:rPr>
          <w:rFonts w:ascii="Times New Roman" w:hAnsi="Times New Roman" w:cs="Times New Roman"/>
          <w:color w:val="000000" w:themeColor="text1"/>
          <w:sz w:val="22"/>
          <w:szCs w:val="22"/>
        </w:rPr>
        <w:br/>
      </w:r>
    </w:p>
    <w:p w14:paraId="76E779EE" w14:textId="12064530" w:rsidR="00031E4A" w:rsidRPr="001D08F0" w:rsidRDefault="00031E4A" w:rsidP="00031E4A">
      <w:pPr>
        <w:pStyle w:val="ListParagraph"/>
        <w:numPr>
          <w:ilvl w:val="0"/>
          <w:numId w:val="4"/>
        </w:numPr>
        <w:rPr>
          <w:rFonts w:ascii="Times New Roman" w:hAnsi="Times New Roman" w:cs="Times New Roman"/>
          <w:color w:val="000000" w:themeColor="text1"/>
          <w:sz w:val="22"/>
          <w:szCs w:val="22"/>
        </w:rPr>
      </w:pPr>
      <w:r w:rsidRPr="001D08F0">
        <w:rPr>
          <w:rFonts w:ascii="Times New Roman" w:hAnsi="Times New Roman" w:cs="Times New Roman"/>
          <w:color w:val="000000" w:themeColor="text1"/>
          <w:sz w:val="22"/>
          <w:szCs w:val="22"/>
        </w:rPr>
        <w:t xml:space="preserve">Custer County led </w:t>
      </w:r>
      <w:r w:rsidR="00235EB2" w:rsidRPr="001D08F0">
        <w:rPr>
          <w:rFonts w:ascii="Times New Roman" w:hAnsi="Times New Roman" w:cs="Times New Roman"/>
          <w:color w:val="000000" w:themeColor="text1"/>
          <w:sz w:val="22"/>
          <w:szCs w:val="22"/>
        </w:rPr>
        <w:t xml:space="preserve">Eastern </w:t>
      </w:r>
      <w:r w:rsidRPr="001D08F0">
        <w:rPr>
          <w:rFonts w:ascii="Times New Roman" w:hAnsi="Times New Roman" w:cs="Times New Roman"/>
          <w:color w:val="000000" w:themeColor="text1"/>
          <w:sz w:val="22"/>
          <w:szCs w:val="22"/>
        </w:rPr>
        <w:t>Idaho in growth in account ownership.</w:t>
      </w:r>
      <w:r w:rsidRPr="001D08F0">
        <w:rPr>
          <w:rFonts w:ascii="Times New Roman" w:hAnsi="Times New Roman" w:cs="Times New Roman"/>
          <w:color w:val="000000" w:themeColor="text1"/>
          <w:sz w:val="22"/>
          <w:szCs w:val="22"/>
        </w:rPr>
        <w:br/>
      </w:r>
    </w:p>
    <w:p w14:paraId="5D234DF3" w14:textId="1459F9D9" w:rsidR="006569BF" w:rsidRPr="001D08F0" w:rsidRDefault="006569BF" w:rsidP="006569BF">
      <w:pPr>
        <w:pStyle w:val="ListParagraph"/>
        <w:numPr>
          <w:ilvl w:val="0"/>
          <w:numId w:val="4"/>
        </w:numPr>
        <w:rPr>
          <w:rFonts w:ascii="Times New Roman" w:hAnsi="Times New Roman" w:cs="Times New Roman"/>
          <w:color w:val="000000" w:themeColor="text1"/>
          <w:sz w:val="22"/>
          <w:szCs w:val="22"/>
        </w:rPr>
      </w:pPr>
      <w:bookmarkStart w:id="0" w:name="_GoBack"/>
      <w:r w:rsidRPr="001D08F0">
        <w:rPr>
          <w:rFonts w:ascii="Times New Roman" w:hAnsi="Times New Roman" w:cs="Times New Roman"/>
          <w:color w:val="000000" w:themeColor="text1"/>
          <w:sz w:val="22"/>
          <w:szCs w:val="22"/>
        </w:rPr>
        <w:t xml:space="preserve">Bonneville County residents used </w:t>
      </w:r>
      <w:r w:rsidR="00993546" w:rsidRPr="001D08F0">
        <w:rPr>
          <w:rFonts w:ascii="Times New Roman" w:hAnsi="Times New Roman" w:cs="Times New Roman"/>
          <w:color w:val="000000" w:themeColor="text1"/>
          <w:sz w:val="22"/>
          <w:szCs w:val="22"/>
        </w:rPr>
        <w:t>$1.6 million</w:t>
      </w:r>
      <w:r w:rsidRPr="001D08F0">
        <w:rPr>
          <w:rFonts w:ascii="Times New Roman" w:hAnsi="Times New Roman" w:cs="Times New Roman"/>
          <w:color w:val="000000" w:themeColor="text1"/>
          <w:sz w:val="22"/>
          <w:szCs w:val="22"/>
        </w:rPr>
        <w:t xml:space="preserve"> through </w:t>
      </w:r>
      <w:proofErr w:type="spellStart"/>
      <w:r w:rsidRPr="001D08F0">
        <w:rPr>
          <w:rFonts w:ascii="Times New Roman" w:hAnsi="Times New Roman" w:cs="Times New Roman"/>
          <w:color w:val="000000" w:themeColor="text1"/>
          <w:sz w:val="22"/>
          <w:szCs w:val="22"/>
        </w:rPr>
        <w:t>IDeal</w:t>
      </w:r>
      <w:proofErr w:type="spellEnd"/>
      <w:r w:rsidRPr="001D08F0">
        <w:rPr>
          <w:rFonts w:ascii="Times New Roman" w:hAnsi="Times New Roman" w:cs="Times New Roman"/>
          <w:color w:val="000000" w:themeColor="text1"/>
          <w:sz w:val="22"/>
          <w:szCs w:val="22"/>
        </w:rPr>
        <w:t xml:space="preserve"> toward higher education over the past year.  </w:t>
      </w:r>
    </w:p>
    <w:bookmarkEnd w:id="0"/>
    <w:p w14:paraId="3C6DCB25" w14:textId="77777777" w:rsidR="00031E4A" w:rsidRDefault="00031E4A" w:rsidP="00031E4A">
      <w:pPr>
        <w:rPr>
          <w:color w:val="000000" w:themeColor="text1"/>
          <w:sz w:val="22"/>
        </w:rPr>
      </w:pPr>
    </w:p>
    <w:tbl>
      <w:tblPr>
        <w:tblW w:w="8511" w:type="dxa"/>
        <w:tblInd w:w="849" w:type="dxa"/>
        <w:tblBorders>
          <w:insideH w:val="single" w:sz="4" w:space="0" w:color="auto"/>
        </w:tblBorders>
        <w:tblLook w:val="04A0" w:firstRow="1" w:lastRow="0" w:firstColumn="1" w:lastColumn="0" w:noHBand="0" w:noVBand="1"/>
      </w:tblPr>
      <w:tblGrid>
        <w:gridCol w:w="2062"/>
        <w:gridCol w:w="2043"/>
        <w:gridCol w:w="2279"/>
        <w:gridCol w:w="2127"/>
      </w:tblGrid>
      <w:tr w:rsidR="00031E4A" w:rsidRPr="006569BF" w14:paraId="786586C4" w14:textId="77777777" w:rsidTr="001D08F0">
        <w:trPr>
          <w:trHeight w:val="420"/>
        </w:trPr>
        <w:tc>
          <w:tcPr>
            <w:tcW w:w="2062" w:type="dxa"/>
            <w:tcBorders>
              <w:top w:val="nil"/>
              <w:left w:val="nil"/>
              <w:bottom w:val="single" w:sz="4" w:space="0" w:color="auto"/>
              <w:right w:val="nil"/>
            </w:tcBorders>
            <w:vAlign w:val="center"/>
          </w:tcPr>
          <w:p w14:paraId="5B170C61" w14:textId="77777777" w:rsidR="00031E4A" w:rsidRPr="00C17470" w:rsidRDefault="00031E4A" w:rsidP="001D08F0">
            <w:pPr>
              <w:jc w:val="center"/>
              <w:rPr>
                <w:color w:val="000000" w:themeColor="text1"/>
                <w:sz w:val="22"/>
                <w:szCs w:val="22"/>
              </w:rPr>
            </w:pPr>
          </w:p>
        </w:tc>
        <w:tc>
          <w:tcPr>
            <w:tcW w:w="2043" w:type="dxa"/>
            <w:tcBorders>
              <w:top w:val="nil"/>
              <w:left w:val="nil"/>
              <w:bottom w:val="single" w:sz="4" w:space="0" w:color="auto"/>
              <w:right w:val="nil"/>
            </w:tcBorders>
            <w:vAlign w:val="center"/>
            <w:hideMark/>
          </w:tcPr>
          <w:p w14:paraId="1E42B916" w14:textId="77777777" w:rsidR="00031E4A" w:rsidRPr="00C17470" w:rsidRDefault="00031E4A" w:rsidP="001D08F0">
            <w:pPr>
              <w:jc w:val="center"/>
              <w:rPr>
                <w:color w:val="000000" w:themeColor="text1"/>
                <w:sz w:val="22"/>
                <w:szCs w:val="22"/>
              </w:rPr>
            </w:pPr>
            <w:r w:rsidRPr="00C17470">
              <w:rPr>
                <w:rFonts w:eastAsia="Times New Roman"/>
                <w:b/>
                <w:color w:val="000000"/>
                <w:sz w:val="22"/>
                <w:szCs w:val="22"/>
              </w:rPr>
              <w:t>Account Owner % Change</w:t>
            </w:r>
          </w:p>
        </w:tc>
        <w:tc>
          <w:tcPr>
            <w:tcW w:w="2279" w:type="dxa"/>
            <w:tcBorders>
              <w:top w:val="nil"/>
              <w:left w:val="nil"/>
              <w:bottom w:val="single" w:sz="4" w:space="0" w:color="auto"/>
              <w:right w:val="nil"/>
            </w:tcBorders>
            <w:vAlign w:val="center"/>
            <w:hideMark/>
          </w:tcPr>
          <w:p w14:paraId="00C33E4A" w14:textId="153997C5" w:rsidR="00031E4A" w:rsidRPr="00C17470" w:rsidRDefault="00031E4A" w:rsidP="001D08F0">
            <w:pPr>
              <w:jc w:val="center"/>
              <w:rPr>
                <w:color w:val="000000" w:themeColor="text1"/>
                <w:sz w:val="22"/>
                <w:szCs w:val="22"/>
              </w:rPr>
            </w:pPr>
            <w:r w:rsidRPr="00C17470">
              <w:rPr>
                <w:rFonts w:eastAsia="Times New Roman"/>
                <w:b/>
                <w:color w:val="000000"/>
                <w:sz w:val="22"/>
                <w:szCs w:val="22"/>
              </w:rPr>
              <w:t xml:space="preserve">Approximate </w:t>
            </w:r>
            <w:r w:rsidR="004F1400" w:rsidRPr="00C17470">
              <w:rPr>
                <w:rFonts w:eastAsia="Times New Roman"/>
                <w:b/>
                <w:color w:val="000000"/>
                <w:sz w:val="22"/>
                <w:szCs w:val="22"/>
              </w:rPr>
              <w:t xml:space="preserve">Change in </w:t>
            </w:r>
            <w:r w:rsidRPr="00C17470">
              <w:rPr>
                <w:rFonts w:eastAsia="Times New Roman"/>
                <w:b/>
                <w:color w:val="000000"/>
                <w:sz w:val="22"/>
                <w:szCs w:val="22"/>
              </w:rPr>
              <w:t>Savings</w:t>
            </w:r>
          </w:p>
        </w:tc>
        <w:tc>
          <w:tcPr>
            <w:tcW w:w="2127" w:type="dxa"/>
            <w:tcBorders>
              <w:top w:val="nil"/>
              <w:left w:val="nil"/>
              <w:bottom w:val="single" w:sz="4" w:space="0" w:color="auto"/>
              <w:right w:val="nil"/>
            </w:tcBorders>
            <w:vAlign w:val="center"/>
            <w:hideMark/>
          </w:tcPr>
          <w:p w14:paraId="5D394053" w14:textId="52ECAED2" w:rsidR="00031E4A" w:rsidRPr="00C17470" w:rsidRDefault="00C17470" w:rsidP="001D08F0">
            <w:pPr>
              <w:jc w:val="center"/>
              <w:rPr>
                <w:rFonts w:eastAsia="Times New Roman"/>
                <w:b/>
                <w:color w:val="000000"/>
                <w:sz w:val="22"/>
                <w:szCs w:val="22"/>
              </w:rPr>
            </w:pPr>
            <w:r w:rsidRPr="00C17470">
              <w:rPr>
                <w:rFonts w:eastAsia="Times New Roman"/>
                <w:b/>
                <w:color w:val="000000"/>
                <w:sz w:val="22"/>
                <w:szCs w:val="22"/>
              </w:rPr>
              <w:t>Account withdrawals to pay for higher education</w:t>
            </w:r>
          </w:p>
        </w:tc>
      </w:tr>
      <w:tr w:rsidR="00031E4A" w:rsidRPr="006569BF" w14:paraId="7A4AB7A2" w14:textId="77777777" w:rsidTr="001D08F0">
        <w:trPr>
          <w:trHeight w:val="420"/>
        </w:trPr>
        <w:tc>
          <w:tcPr>
            <w:tcW w:w="2062" w:type="dxa"/>
            <w:tcBorders>
              <w:top w:val="single" w:sz="4" w:space="0" w:color="auto"/>
              <w:left w:val="nil"/>
              <w:bottom w:val="single" w:sz="4" w:space="0" w:color="auto"/>
              <w:right w:val="nil"/>
            </w:tcBorders>
            <w:vAlign w:val="center"/>
            <w:hideMark/>
          </w:tcPr>
          <w:p w14:paraId="69F017F8" w14:textId="77777777" w:rsidR="00031E4A" w:rsidRPr="00C17470" w:rsidRDefault="00031E4A" w:rsidP="001D08F0">
            <w:pPr>
              <w:jc w:val="center"/>
              <w:rPr>
                <w:color w:val="000000" w:themeColor="text1"/>
                <w:sz w:val="22"/>
                <w:szCs w:val="22"/>
              </w:rPr>
            </w:pPr>
            <w:r w:rsidRPr="00C17470">
              <w:rPr>
                <w:color w:val="000000" w:themeColor="text1"/>
                <w:sz w:val="22"/>
                <w:szCs w:val="22"/>
              </w:rPr>
              <w:t>Custer</w:t>
            </w:r>
          </w:p>
        </w:tc>
        <w:tc>
          <w:tcPr>
            <w:tcW w:w="2043" w:type="dxa"/>
            <w:tcBorders>
              <w:top w:val="single" w:sz="4" w:space="0" w:color="auto"/>
              <w:left w:val="nil"/>
              <w:bottom w:val="single" w:sz="4" w:space="0" w:color="auto"/>
              <w:right w:val="nil"/>
            </w:tcBorders>
            <w:vAlign w:val="center"/>
            <w:hideMark/>
          </w:tcPr>
          <w:p w14:paraId="7332D3E8" w14:textId="77777777" w:rsidR="00031E4A" w:rsidRPr="00C17470" w:rsidRDefault="00031E4A" w:rsidP="001D08F0">
            <w:pPr>
              <w:jc w:val="center"/>
              <w:rPr>
                <w:color w:val="000000" w:themeColor="text1"/>
                <w:sz w:val="22"/>
                <w:szCs w:val="22"/>
              </w:rPr>
            </w:pPr>
            <w:r w:rsidRPr="00C17470">
              <w:rPr>
                <w:color w:val="000000" w:themeColor="text1"/>
                <w:sz w:val="22"/>
                <w:szCs w:val="22"/>
              </w:rPr>
              <w:t>21</w:t>
            </w:r>
            <w:r w:rsidR="00C17470" w:rsidRPr="00C17470">
              <w:rPr>
                <w:color w:val="000000" w:themeColor="text1"/>
                <w:sz w:val="22"/>
                <w:szCs w:val="22"/>
              </w:rPr>
              <w:t>.4</w:t>
            </w:r>
            <w:r w:rsidRPr="00C17470">
              <w:rPr>
                <w:color w:val="000000" w:themeColor="text1"/>
                <w:sz w:val="22"/>
                <w:szCs w:val="22"/>
              </w:rPr>
              <w:t>%</w:t>
            </w:r>
          </w:p>
          <w:p w14:paraId="3AD46E38" w14:textId="750FEA85" w:rsidR="00C17470" w:rsidRPr="00C17470" w:rsidRDefault="00C17470" w:rsidP="001D08F0">
            <w:pPr>
              <w:jc w:val="center"/>
              <w:rPr>
                <w:color w:val="000000" w:themeColor="text1"/>
                <w:sz w:val="22"/>
                <w:szCs w:val="22"/>
              </w:rPr>
            </w:pPr>
            <w:r w:rsidRPr="00C17470">
              <w:rPr>
                <w:color w:val="000000" w:themeColor="text1"/>
                <w:sz w:val="22"/>
                <w:szCs w:val="22"/>
              </w:rPr>
              <w:t>(+3)</w:t>
            </w:r>
          </w:p>
        </w:tc>
        <w:tc>
          <w:tcPr>
            <w:tcW w:w="2279" w:type="dxa"/>
            <w:tcBorders>
              <w:top w:val="single" w:sz="4" w:space="0" w:color="auto"/>
              <w:left w:val="nil"/>
              <w:bottom w:val="single" w:sz="4" w:space="0" w:color="auto"/>
              <w:right w:val="nil"/>
            </w:tcBorders>
            <w:vAlign w:val="center"/>
            <w:hideMark/>
          </w:tcPr>
          <w:p w14:paraId="02952E1E" w14:textId="6A73066B" w:rsidR="00031E4A" w:rsidRPr="00C17470" w:rsidRDefault="00C17470" w:rsidP="001D08F0">
            <w:pPr>
              <w:jc w:val="center"/>
              <w:rPr>
                <w:color w:val="000000" w:themeColor="text1"/>
                <w:sz w:val="22"/>
                <w:szCs w:val="22"/>
              </w:rPr>
            </w:pPr>
            <w:r w:rsidRPr="00C17470">
              <w:rPr>
                <w:color w:val="000000" w:themeColor="text1"/>
                <w:sz w:val="22"/>
                <w:szCs w:val="22"/>
              </w:rPr>
              <w:t>$100,000</w:t>
            </w:r>
          </w:p>
        </w:tc>
        <w:tc>
          <w:tcPr>
            <w:tcW w:w="2127" w:type="dxa"/>
            <w:tcBorders>
              <w:top w:val="single" w:sz="4" w:space="0" w:color="auto"/>
              <w:left w:val="nil"/>
              <w:bottom w:val="single" w:sz="4" w:space="0" w:color="auto"/>
              <w:right w:val="nil"/>
            </w:tcBorders>
            <w:vAlign w:val="center"/>
          </w:tcPr>
          <w:p w14:paraId="3016EB39" w14:textId="162784C0" w:rsidR="00031E4A" w:rsidRPr="003F3A6B" w:rsidRDefault="006569BF" w:rsidP="001D08F0">
            <w:pPr>
              <w:jc w:val="center"/>
              <w:rPr>
                <w:color w:val="000000" w:themeColor="text1"/>
                <w:sz w:val="22"/>
                <w:szCs w:val="22"/>
              </w:rPr>
            </w:pPr>
            <w:r w:rsidRPr="003F3A6B">
              <w:rPr>
                <w:color w:val="000000" w:themeColor="text1"/>
                <w:sz w:val="22"/>
                <w:szCs w:val="22"/>
              </w:rPr>
              <w:t>$</w:t>
            </w:r>
            <w:r w:rsidR="00C17470" w:rsidRPr="003F3A6B">
              <w:rPr>
                <w:color w:val="000000" w:themeColor="text1"/>
                <w:sz w:val="22"/>
                <w:szCs w:val="22"/>
              </w:rPr>
              <w:t>20,000</w:t>
            </w:r>
          </w:p>
        </w:tc>
      </w:tr>
      <w:tr w:rsidR="00031E4A" w:rsidRPr="006569BF" w14:paraId="734D262D" w14:textId="77777777" w:rsidTr="001D08F0">
        <w:trPr>
          <w:trHeight w:val="420"/>
        </w:trPr>
        <w:tc>
          <w:tcPr>
            <w:tcW w:w="2062" w:type="dxa"/>
            <w:tcBorders>
              <w:top w:val="single" w:sz="4" w:space="0" w:color="auto"/>
              <w:left w:val="nil"/>
              <w:bottom w:val="single" w:sz="4" w:space="0" w:color="auto"/>
              <w:right w:val="nil"/>
            </w:tcBorders>
            <w:vAlign w:val="center"/>
            <w:hideMark/>
          </w:tcPr>
          <w:p w14:paraId="1F73AF19" w14:textId="77777777" w:rsidR="00031E4A" w:rsidRPr="00C17470" w:rsidRDefault="00031E4A" w:rsidP="001D08F0">
            <w:pPr>
              <w:jc w:val="center"/>
              <w:rPr>
                <w:color w:val="000000" w:themeColor="text1"/>
                <w:sz w:val="22"/>
                <w:szCs w:val="22"/>
              </w:rPr>
            </w:pPr>
            <w:r w:rsidRPr="00C17470">
              <w:rPr>
                <w:color w:val="000000" w:themeColor="text1"/>
                <w:sz w:val="22"/>
                <w:szCs w:val="22"/>
              </w:rPr>
              <w:t>Fremont</w:t>
            </w:r>
          </w:p>
        </w:tc>
        <w:tc>
          <w:tcPr>
            <w:tcW w:w="2043" w:type="dxa"/>
            <w:tcBorders>
              <w:top w:val="single" w:sz="4" w:space="0" w:color="auto"/>
              <w:left w:val="nil"/>
              <w:bottom w:val="single" w:sz="4" w:space="0" w:color="auto"/>
              <w:right w:val="nil"/>
            </w:tcBorders>
            <w:vAlign w:val="center"/>
            <w:hideMark/>
          </w:tcPr>
          <w:p w14:paraId="7EA4E43A" w14:textId="77777777" w:rsidR="00031E4A" w:rsidRPr="00C17470" w:rsidRDefault="00C17470" w:rsidP="001D08F0">
            <w:pPr>
              <w:jc w:val="center"/>
              <w:rPr>
                <w:color w:val="000000" w:themeColor="text1"/>
                <w:sz w:val="22"/>
                <w:szCs w:val="22"/>
              </w:rPr>
            </w:pPr>
            <w:r w:rsidRPr="00C17470">
              <w:rPr>
                <w:color w:val="000000" w:themeColor="text1"/>
                <w:sz w:val="22"/>
                <w:szCs w:val="22"/>
              </w:rPr>
              <w:t>7.1</w:t>
            </w:r>
            <w:r w:rsidR="00031E4A" w:rsidRPr="00C17470">
              <w:rPr>
                <w:color w:val="000000" w:themeColor="text1"/>
                <w:sz w:val="22"/>
                <w:szCs w:val="22"/>
              </w:rPr>
              <w:t>%</w:t>
            </w:r>
          </w:p>
          <w:p w14:paraId="341125A1" w14:textId="4BF8AF8D" w:rsidR="00C17470" w:rsidRPr="00C17470" w:rsidRDefault="00C17470" w:rsidP="001D08F0">
            <w:pPr>
              <w:jc w:val="center"/>
              <w:rPr>
                <w:color w:val="000000" w:themeColor="text1"/>
                <w:sz w:val="22"/>
                <w:szCs w:val="22"/>
              </w:rPr>
            </w:pPr>
            <w:r w:rsidRPr="00C17470">
              <w:rPr>
                <w:color w:val="000000" w:themeColor="text1"/>
                <w:sz w:val="22"/>
                <w:szCs w:val="22"/>
              </w:rPr>
              <w:t>(+1)</w:t>
            </w:r>
          </w:p>
        </w:tc>
        <w:tc>
          <w:tcPr>
            <w:tcW w:w="2279" w:type="dxa"/>
            <w:tcBorders>
              <w:top w:val="single" w:sz="4" w:space="0" w:color="auto"/>
              <w:left w:val="nil"/>
              <w:bottom w:val="single" w:sz="4" w:space="0" w:color="auto"/>
              <w:right w:val="nil"/>
            </w:tcBorders>
            <w:vAlign w:val="center"/>
            <w:hideMark/>
          </w:tcPr>
          <w:p w14:paraId="10DD5946" w14:textId="3DCF4427" w:rsidR="00031E4A" w:rsidRPr="00C17470" w:rsidRDefault="00C17470" w:rsidP="001D08F0">
            <w:pPr>
              <w:jc w:val="center"/>
              <w:rPr>
                <w:color w:val="000000" w:themeColor="text1"/>
                <w:sz w:val="22"/>
                <w:szCs w:val="22"/>
              </w:rPr>
            </w:pPr>
            <w:r w:rsidRPr="00C17470">
              <w:rPr>
                <w:color w:val="000000" w:themeColor="text1"/>
                <w:sz w:val="22"/>
                <w:szCs w:val="22"/>
              </w:rPr>
              <w:t>$103,000</w:t>
            </w:r>
          </w:p>
        </w:tc>
        <w:tc>
          <w:tcPr>
            <w:tcW w:w="2127" w:type="dxa"/>
            <w:tcBorders>
              <w:top w:val="single" w:sz="4" w:space="0" w:color="auto"/>
              <w:left w:val="nil"/>
              <w:bottom w:val="single" w:sz="4" w:space="0" w:color="auto"/>
              <w:right w:val="nil"/>
            </w:tcBorders>
            <w:vAlign w:val="center"/>
          </w:tcPr>
          <w:p w14:paraId="16B6865C" w14:textId="4D65CBB2" w:rsidR="00031E4A" w:rsidRPr="003F3A6B" w:rsidRDefault="003F3A6B" w:rsidP="001D08F0">
            <w:pPr>
              <w:jc w:val="center"/>
              <w:rPr>
                <w:color w:val="000000" w:themeColor="text1"/>
                <w:sz w:val="22"/>
                <w:szCs w:val="22"/>
              </w:rPr>
            </w:pPr>
            <w:r>
              <w:rPr>
                <w:color w:val="000000" w:themeColor="text1"/>
                <w:sz w:val="22"/>
                <w:szCs w:val="22"/>
              </w:rPr>
              <w:t>$1,0</w:t>
            </w:r>
            <w:r w:rsidR="00C17470" w:rsidRPr="003F3A6B">
              <w:rPr>
                <w:color w:val="000000" w:themeColor="text1"/>
                <w:sz w:val="22"/>
                <w:szCs w:val="22"/>
              </w:rPr>
              <w:t>00</w:t>
            </w:r>
          </w:p>
        </w:tc>
      </w:tr>
      <w:tr w:rsidR="00031E4A" w:rsidRPr="006569BF" w14:paraId="7609D6EB" w14:textId="77777777" w:rsidTr="001D08F0">
        <w:trPr>
          <w:trHeight w:val="420"/>
        </w:trPr>
        <w:tc>
          <w:tcPr>
            <w:tcW w:w="2062" w:type="dxa"/>
            <w:tcBorders>
              <w:top w:val="single" w:sz="4" w:space="0" w:color="auto"/>
              <w:left w:val="nil"/>
              <w:bottom w:val="single" w:sz="4" w:space="0" w:color="auto"/>
              <w:right w:val="nil"/>
            </w:tcBorders>
            <w:vAlign w:val="center"/>
            <w:hideMark/>
          </w:tcPr>
          <w:p w14:paraId="71BE735F" w14:textId="77777777" w:rsidR="00031E4A" w:rsidRPr="00C17470" w:rsidRDefault="00031E4A" w:rsidP="001D08F0">
            <w:pPr>
              <w:jc w:val="center"/>
              <w:rPr>
                <w:color w:val="000000" w:themeColor="text1"/>
                <w:sz w:val="22"/>
                <w:szCs w:val="22"/>
              </w:rPr>
            </w:pPr>
            <w:r w:rsidRPr="00C17470">
              <w:rPr>
                <w:color w:val="000000" w:themeColor="text1"/>
                <w:sz w:val="22"/>
                <w:szCs w:val="22"/>
              </w:rPr>
              <w:t>Teton</w:t>
            </w:r>
          </w:p>
        </w:tc>
        <w:tc>
          <w:tcPr>
            <w:tcW w:w="2043" w:type="dxa"/>
            <w:tcBorders>
              <w:top w:val="single" w:sz="4" w:space="0" w:color="auto"/>
              <w:left w:val="nil"/>
              <w:bottom w:val="single" w:sz="4" w:space="0" w:color="auto"/>
              <w:right w:val="nil"/>
            </w:tcBorders>
            <w:vAlign w:val="center"/>
            <w:hideMark/>
          </w:tcPr>
          <w:p w14:paraId="7209A02C" w14:textId="77777777" w:rsidR="00031E4A" w:rsidRPr="00C17470" w:rsidRDefault="00C17470" w:rsidP="001D08F0">
            <w:pPr>
              <w:jc w:val="center"/>
              <w:rPr>
                <w:color w:val="000000" w:themeColor="text1"/>
                <w:sz w:val="22"/>
                <w:szCs w:val="22"/>
              </w:rPr>
            </w:pPr>
            <w:r w:rsidRPr="00C17470">
              <w:rPr>
                <w:color w:val="000000" w:themeColor="text1"/>
                <w:sz w:val="22"/>
                <w:szCs w:val="22"/>
              </w:rPr>
              <w:t>3.9</w:t>
            </w:r>
            <w:r w:rsidR="00031E4A" w:rsidRPr="00C17470">
              <w:rPr>
                <w:color w:val="000000" w:themeColor="text1"/>
                <w:sz w:val="22"/>
                <w:szCs w:val="22"/>
              </w:rPr>
              <w:t>%</w:t>
            </w:r>
          </w:p>
          <w:p w14:paraId="325CFA6D" w14:textId="3322753F" w:rsidR="00C17470" w:rsidRPr="00C17470" w:rsidRDefault="00C17470" w:rsidP="001D08F0">
            <w:pPr>
              <w:jc w:val="center"/>
              <w:rPr>
                <w:color w:val="000000" w:themeColor="text1"/>
                <w:sz w:val="22"/>
                <w:szCs w:val="22"/>
              </w:rPr>
            </w:pPr>
            <w:r w:rsidRPr="00C17470">
              <w:rPr>
                <w:color w:val="000000" w:themeColor="text1"/>
                <w:sz w:val="22"/>
                <w:szCs w:val="22"/>
              </w:rPr>
              <w:t>(+3)</w:t>
            </w:r>
          </w:p>
        </w:tc>
        <w:tc>
          <w:tcPr>
            <w:tcW w:w="2279" w:type="dxa"/>
            <w:tcBorders>
              <w:top w:val="single" w:sz="4" w:space="0" w:color="auto"/>
              <w:left w:val="nil"/>
              <w:bottom w:val="single" w:sz="4" w:space="0" w:color="auto"/>
              <w:right w:val="nil"/>
            </w:tcBorders>
            <w:vAlign w:val="center"/>
            <w:hideMark/>
          </w:tcPr>
          <w:p w14:paraId="33FFE544" w14:textId="7F179933" w:rsidR="00031E4A" w:rsidRPr="00C17470" w:rsidRDefault="00C17470" w:rsidP="001D08F0">
            <w:pPr>
              <w:jc w:val="center"/>
              <w:rPr>
                <w:color w:val="000000" w:themeColor="text1"/>
                <w:sz w:val="22"/>
                <w:szCs w:val="22"/>
              </w:rPr>
            </w:pPr>
            <w:r w:rsidRPr="00C17470">
              <w:rPr>
                <w:color w:val="000000" w:themeColor="text1"/>
                <w:sz w:val="22"/>
                <w:szCs w:val="22"/>
              </w:rPr>
              <w:t>$219,000</w:t>
            </w:r>
          </w:p>
        </w:tc>
        <w:tc>
          <w:tcPr>
            <w:tcW w:w="2127" w:type="dxa"/>
            <w:tcBorders>
              <w:top w:val="single" w:sz="4" w:space="0" w:color="auto"/>
              <w:left w:val="nil"/>
              <w:bottom w:val="single" w:sz="4" w:space="0" w:color="auto"/>
              <w:right w:val="nil"/>
            </w:tcBorders>
            <w:vAlign w:val="center"/>
          </w:tcPr>
          <w:p w14:paraId="7B0B27FC" w14:textId="45D96A95" w:rsidR="00031E4A" w:rsidRPr="003F3A6B" w:rsidRDefault="00C17470" w:rsidP="001D08F0">
            <w:pPr>
              <w:jc w:val="center"/>
              <w:rPr>
                <w:color w:val="000000" w:themeColor="text1"/>
                <w:sz w:val="22"/>
                <w:szCs w:val="22"/>
              </w:rPr>
            </w:pPr>
            <w:r w:rsidRPr="003F3A6B">
              <w:rPr>
                <w:color w:val="000000" w:themeColor="text1"/>
                <w:sz w:val="22"/>
                <w:szCs w:val="22"/>
              </w:rPr>
              <w:t>$139,000</w:t>
            </w:r>
          </w:p>
        </w:tc>
      </w:tr>
      <w:tr w:rsidR="00031E4A" w:rsidRPr="006569BF" w14:paraId="7F8F71F7" w14:textId="77777777" w:rsidTr="001D08F0">
        <w:trPr>
          <w:trHeight w:val="440"/>
        </w:trPr>
        <w:tc>
          <w:tcPr>
            <w:tcW w:w="2062" w:type="dxa"/>
            <w:tcBorders>
              <w:top w:val="single" w:sz="4" w:space="0" w:color="auto"/>
              <w:left w:val="nil"/>
              <w:bottom w:val="single" w:sz="4" w:space="0" w:color="auto"/>
              <w:right w:val="nil"/>
            </w:tcBorders>
            <w:vAlign w:val="center"/>
            <w:hideMark/>
          </w:tcPr>
          <w:p w14:paraId="7286F69F" w14:textId="77777777" w:rsidR="00031E4A" w:rsidRPr="00C17470" w:rsidRDefault="00031E4A" w:rsidP="001D08F0">
            <w:pPr>
              <w:jc w:val="center"/>
              <w:rPr>
                <w:color w:val="000000" w:themeColor="text1"/>
                <w:sz w:val="22"/>
                <w:szCs w:val="22"/>
              </w:rPr>
            </w:pPr>
            <w:r w:rsidRPr="00C17470">
              <w:rPr>
                <w:color w:val="000000" w:themeColor="text1"/>
                <w:sz w:val="22"/>
                <w:szCs w:val="22"/>
              </w:rPr>
              <w:t>Bingham</w:t>
            </w:r>
          </w:p>
        </w:tc>
        <w:tc>
          <w:tcPr>
            <w:tcW w:w="2043" w:type="dxa"/>
            <w:tcBorders>
              <w:top w:val="single" w:sz="4" w:space="0" w:color="auto"/>
              <w:left w:val="nil"/>
              <w:bottom w:val="single" w:sz="4" w:space="0" w:color="auto"/>
              <w:right w:val="nil"/>
            </w:tcBorders>
            <w:vAlign w:val="center"/>
            <w:hideMark/>
          </w:tcPr>
          <w:p w14:paraId="1E73A0DF" w14:textId="77777777" w:rsidR="00031E4A" w:rsidRPr="00C17470" w:rsidRDefault="00C17470" w:rsidP="001D08F0">
            <w:pPr>
              <w:jc w:val="center"/>
              <w:rPr>
                <w:color w:val="000000" w:themeColor="text1"/>
                <w:sz w:val="22"/>
                <w:szCs w:val="22"/>
              </w:rPr>
            </w:pPr>
            <w:r w:rsidRPr="00C17470">
              <w:rPr>
                <w:color w:val="000000" w:themeColor="text1"/>
                <w:sz w:val="22"/>
                <w:szCs w:val="22"/>
              </w:rPr>
              <w:t>1.9</w:t>
            </w:r>
            <w:r w:rsidR="00031E4A" w:rsidRPr="00C17470">
              <w:rPr>
                <w:color w:val="000000" w:themeColor="text1"/>
                <w:sz w:val="22"/>
                <w:szCs w:val="22"/>
              </w:rPr>
              <w:t>%</w:t>
            </w:r>
          </w:p>
          <w:p w14:paraId="3EB01857" w14:textId="54EF4D06" w:rsidR="00C17470" w:rsidRPr="00C17470" w:rsidRDefault="00C17470" w:rsidP="001D08F0">
            <w:pPr>
              <w:jc w:val="center"/>
              <w:rPr>
                <w:color w:val="000000" w:themeColor="text1"/>
                <w:sz w:val="22"/>
                <w:szCs w:val="22"/>
              </w:rPr>
            </w:pPr>
            <w:r w:rsidRPr="00C17470">
              <w:rPr>
                <w:color w:val="000000" w:themeColor="text1"/>
                <w:sz w:val="22"/>
                <w:szCs w:val="22"/>
              </w:rPr>
              <w:t>(+2)</w:t>
            </w:r>
          </w:p>
        </w:tc>
        <w:tc>
          <w:tcPr>
            <w:tcW w:w="2279" w:type="dxa"/>
            <w:tcBorders>
              <w:top w:val="single" w:sz="4" w:space="0" w:color="auto"/>
              <w:left w:val="nil"/>
              <w:bottom w:val="single" w:sz="4" w:space="0" w:color="auto"/>
              <w:right w:val="nil"/>
            </w:tcBorders>
            <w:vAlign w:val="center"/>
            <w:hideMark/>
          </w:tcPr>
          <w:p w14:paraId="04A28EB6" w14:textId="5C51C5B7" w:rsidR="00031E4A" w:rsidRPr="00C17470" w:rsidRDefault="00C17470" w:rsidP="001D08F0">
            <w:pPr>
              <w:jc w:val="center"/>
              <w:rPr>
                <w:color w:val="000000" w:themeColor="text1"/>
                <w:sz w:val="22"/>
                <w:szCs w:val="22"/>
              </w:rPr>
            </w:pPr>
            <w:r w:rsidRPr="00C17470">
              <w:rPr>
                <w:color w:val="000000" w:themeColor="text1"/>
                <w:sz w:val="22"/>
                <w:szCs w:val="22"/>
              </w:rPr>
              <w:t>$234,000</w:t>
            </w:r>
          </w:p>
        </w:tc>
        <w:tc>
          <w:tcPr>
            <w:tcW w:w="2127" w:type="dxa"/>
            <w:tcBorders>
              <w:top w:val="single" w:sz="4" w:space="0" w:color="auto"/>
              <w:left w:val="nil"/>
              <w:bottom w:val="single" w:sz="4" w:space="0" w:color="auto"/>
              <w:right w:val="nil"/>
            </w:tcBorders>
            <w:vAlign w:val="center"/>
          </w:tcPr>
          <w:p w14:paraId="6B498C12" w14:textId="1FB4B93E" w:rsidR="00031E4A" w:rsidRPr="003F3A6B" w:rsidRDefault="00C17470" w:rsidP="001D08F0">
            <w:pPr>
              <w:jc w:val="center"/>
              <w:rPr>
                <w:color w:val="000000" w:themeColor="text1"/>
                <w:sz w:val="22"/>
                <w:szCs w:val="22"/>
              </w:rPr>
            </w:pPr>
            <w:r w:rsidRPr="003F3A6B">
              <w:rPr>
                <w:color w:val="000000" w:themeColor="text1"/>
                <w:sz w:val="22"/>
                <w:szCs w:val="22"/>
              </w:rPr>
              <w:t>$170,000</w:t>
            </w:r>
          </w:p>
        </w:tc>
      </w:tr>
      <w:tr w:rsidR="00031E4A" w14:paraId="15C36E68" w14:textId="77777777" w:rsidTr="001D08F0">
        <w:trPr>
          <w:trHeight w:val="420"/>
        </w:trPr>
        <w:tc>
          <w:tcPr>
            <w:tcW w:w="2062" w:type="dxa"/>
            <w:tcBorders>
              <w:top w:val="single" w:sz="4" w:space="0" w:color="auto"/>
              <w:left w:val="nil"/>
              <w:bottom w:val="single" w:sz="4" w:space="0" w:color="auto"/>
              <w:right w:val="nil"/>
            </w:tcBorders>
            <w:vAlign w:val="center"/>
            <w:hideMark/>
          </w:tcPr>
          <w:p w14:paraId="3D14126F" w14:textId="77777777" w:rsidR="00031E4A" w:rsidRPr="00C17470" w:rsidRDefault="00031E4A" w:rsidP="001D08F0">
            <w:pPr>
              <w:jc w:val="center"/>
              <w:rPr>
                <w:color w:val="000000" w:themeColor="text1"/>
                <w:sz w:val="22"/>
                <w:szCs w:val="22"/>
              </w:rPr>
            </w:pPr>
            <w:r w:rsidRPr="00C17470">
              <w:rPr>
                <w:color w:val="000000" w:themeColor="text1"/>
                <w:sz w:val="22"/>
                <w:szCs w:val="22"/>
              </w:rPr>
              <w:t>Bannock</w:t>
            </w:r>
          </w:p>
        </w:tc>
        <w:tc>
          <w:tcPr>
            <w:tcW w:w="2043" w:type="dxa"/>
            <w:tcBorders>
              <w:top w:val="single" w:sz="4" w:space="0" w:color="auto"/>
              <w:left w:val="nil"/>
              <w:bottom w:val="single" w:sz="4" w:space="0" w:color="auto"/>
              <w:right w:val="nil"/>
            </w:tcBorders>
            <w:vAlign w:val="center"/>
            <w:hideMark/>
          </w:tcPr>
          <w:p w14:paraId="7B6AB9FD" w14:textId="77777777" w:rsidR="00031E4A" w:rsidRPr="00C17470" w:rsidRDefault="00C17470" w:rsidP="001D08F0">
            <w:pPr>
              <w:jc w:val="center"/>
              <w:rPr>
                <w:color w:val="000000" w:themeColor="text1"/>
                <w:sz w:val="22"/>
                <w:szCs w:val="22"/>
              </w:rPr>
            </w:pPr>
            <w:r w:rsidRPr="00C17470">
              <w:rPr>
                <w:color w:val="000000" w:themeColor="text1"/>
                <w:sz w:val="22"/>
                <w:szCs w:val="22"/>
              </w:rPr>
              <w:t>1.8</w:t>
            </w:r>
            <w:r w:rsidR="00031E4A" w:rsidRPr="00C17470">
              <w:rPr>
                <w:color w:val="000000" w:themeColor="text1"/>
                <w:sz w:val="22"/>
                <w:szCs w:val="22"/>
              </w:rPr>
              <w:t>%</w:t>
            </w:r>
          </w:p>
          <w:p w14:paraId="4613EFFC" w14:textId="486E24CF" w:rsidR="00C17470" w:rsidRPr="00C17470" w:rsidRDefault="00C17470" w:rsidP="001D08F0">
            <w:pPr>
              <w:jc w:val="center"/>
              <w:rPr>
                <w:color w:val="000000" w:themeColor="text1"/>
                <w:sz w:val="22"/>
                <w:szCs w:val="22"/>
              </w:rPr>
            </w:pPr>
            <w:r w:rsidRPr="00C17470">
              <w:rPr>
                <w:color w:val="000000" w:themeColor="text1"/>
                <w:sz w:val="22"/>
                <w:szCs w:val="22"/>
              </w:rPr>
              <w:t>(+7)</w:t>
            </w:r>
          </w:p>
        </w:tc>
        <w:tc>
          <w:tcPr>
            <w:tcW w:w="2279" w:type="dxa"/>
            <w:tcBorders>
              <w:top w:val="single" w:sz="4" w:space="0" w:color="auto"/>
              <w:left w:val="nil"/>
              <w:bottom w:val="single" w:sz="4" w:space="0" w:color="auto"/>
              <w:right w:val="nil"/>
            </w:tcBorders>
            <w:vAlign w:val="center"/>
            <w:hideMark/>
          </w:tcPr>
          <w:p w14:paraId="05EA7137" w14:textId="493ED0E6" w:rsidR="00031E4A" w:rsidRPr="00C17470" w:rsidRDefault="00C17470" w:rsidP="001D08F0">
            <w:pPr>
              <w:jc w:val="center"/>
              <w:rPr>
                <w:color w:val="000000" w:themeColor="text1"/>
                <w:sz w:val="22"/>
                <w:szCs w:val="22"/>
              </w:rPr>
            </w:pPr>
            <w:r w:rsidRPr="00C17470">
              <w:rPr>
                <w:color w:val="000000" w:themeColor="text1"/>
                <w:sz w:val="22"/>
                <w:szCs w:val="22"/>
              </w:rPr>
              <w:t>$1.1 million</w:t>
            </w:r>
          </w:p>
        </w:tc>
        <w:tc>
          <w:tcPr>
            <w:tcW w:w="2127" w:type="dxa"/>
            <w:tcBorders>
              <w:top w:val="single" w:sz="4" w:space="0" w:color="auto"/>
              <w:left w:val="nil"/>
              <w:bottom w:val="single" w:sz="4" w:space="0" w:color="auto"/>
              <w:right w:val="nil"/>
            </w:tcBorders>
            <w:vAlign w:val="center"/>
          </w:tcPr>
          <w:p w14:paraId="0E05F638" w14:textId="122F0B06" w:rsidR="00031E4A" w:rsidRPr="003F3A6B" w:rsidRDefault="00C17470" w:rsidP="001D08F0">
            <w:pPr>
              <w:jc w:val="center"/>
              <w:rPr>
                <w:color w:val="000000" w:themeColor="text1"/>
                <w:sz w:val="22"/>
                <w:szCs w:val="22"/>
              </w:rPr>
            </w:pPr>
            <w:r w:rsidRPr="003F3A6B">
              <w:rPr>
                <w:color w:val="000000" w:themeColor="text1"/>
                <w:sz w:val="22"/>
                <w:szCs w:val="22"/>
              </w:rPr>
              <w:t>$703,000</w:t>
            </w:r>
          </w:p>
        </w:tc>
      </w:tr>
      <w:tr w:rsidR="00031E4A" w14:paraId="750660AE" w14:textId="77777777" w:rsidTr="001D08F0">
        <w:trPr>
          <w:trHeight w:val="420"/>
        </w:trPr>
        <w:tc>
          <w:tcPr>
            <w:tcW w:w="2062" w:type="dxa"/>
            <w:tcBorders>
              <w:top w:val="single" w:sz="4" w:space="0" w:color="auto"/>
              <w:left w:val="nil"/>
              <w:bottom w:val="single" w:sz="4" w:space="0" w:color="auto"/>
              <w:right w:val="nil"/>
            </w:tcBorders>
            <w:vAlign w:val="center"/>
            <w:hideMark/>
          </w:tcPr>
          <w:p w14:paraId="056F37C5" w14:textId="77777777" w:rsidR="00031E4A" w:rsidRPr="00C17470" w:rsidRDefault="00031E4A" w:rsidP="001D08F0">
            <w:pPr>
              <w:jc w:val="center"/>
              <w:rPr>
                <w:color w:val="000000" w:themeColor="text1"/>
                <w:sz w:val="22"/>
                <w:szCs w:val="22"/>
              </w:rPr>
            </w:pPr>
            <w:r w:rsidRPr="00C17470">
              <w:rPr>
                <w:color w:val="000000" w:themeColor="text1"/>
                <w:sz w:val="22"/>
                <w:szCs w:val="22"/>
              </w:rPr>
              <w:t>Bonneville</w:t>
            </w:r>
          </w:p>
        </w:tc>
        <w:tc>
          <w:tcPr>
            <w:tcW w:w="2043" w:type="dxa"/>
            <w:tcBorders>
              <w:top w:val="single" w:sz="4" w:space="0" w:color="auto"/>
              <w:left w:val="nil"/>
              <w:bottom w:val="single" w:sz="4" w:space="0" w:color="auto"/>
              <w:right w:val="nil"/>
            </w:tcBorders>
            <w:vAlign w:val="center"/>
            <w:hideMark/>
          </w:tcPr>
          <w:p w14:paraId="4486E374" w14:textId="77777777" w:rsidR="00031E4A" w:rsidRPr="00C17470" w:rsidRDefault="00C17470" w:rsidP="001D08F0">
            <w:pPr>
              <w:jc w:val="center"/>
              <w:rPr>
                <w:color w:val="000000" w:themeColor="text1"/>
                <w:sz w:val="22"/>
                <w:szCs w:val="22"/>
              </w:rPr>
            </w:pPr>
            <w:r w:rsidRPr="00C17470">
              <w:rPr>
                <w:color w:val="000000" w:themeColor="text1"/>
                <w:sz w:val="22"/>
                <w:szCs w:val="22"/>
              </w:rPr>
              <w:t>0.3</w:t>
            </w:r>
            <w:r w:rsidR="00031E4A" w:rsidRPr="00C17470">
              <w:rPr>
                <w:color w:val="000000" w:themeColor="text1"/>
                <w:sz w:val="22"/>
                <w:szCs w:val="22"/>
              </w:rPr>
              <w:t>%</w:t>
            </w:r>
          </w:p>
          <w:p w14:paraId="16BB2595" w14:textId="05D0B335" w:rsidR="00C17470" w:rsidRPr="00C17470" w:rsidRDefault="00C17470" w:rsidP="001D08F0">
            <w:pPr>
              <w:jc w:val="center"/>
              <w:rPr>
                <w:color w:val="000000" w:themeColor="text1"/>
                <w:sz w:val="22"/>
                <w:szCs w:val="22"/>
              </w:rPr>
            </w:pPr>
            <w:r w:rsidRPr="00C17470">
              <w:rPr>
                <w:color w:val="000000" w:themeColor="text1"/>
                <w:sz w:val="22"/>
                <w:szCs w:val="22"/>
              </w:rPr>
              <w:t>(+2)</w:t>
            </w:r>
          </w:p>
        </w:tc>
        <w:tc>
          <w:tcPr>
            <w:tcW w:w="2279" w:type="dxa"/>
            <w:tcBorders>
              <w:top w:val="single" w:sz="4" w:space="0" w:color="auto"/>
              <w:left w:val="nil"/>
              <w:bottom w:val="single" w:sz="4" w:space="0" w:color="auto"/>
              <w:right w:val="nil"/>
            </w:tcBorders>
            <w:vAlign w:val="center"/>
            <w:hideMark/>
          </w:tcPr>
          <w:p w14:paraId="249D94A1" w14:textId="1552F8EC" w:rsidR="00031E4A" w:rsidRPr="00C17470" w:rsidRDefault="00C17470" w:rsidP="001D08F0">
            <w:pPr>
              <w:jc w:val="center"/>
              <w:rPr>
                <w:color w:val="000000" w:themeColor="text1"/>
                <w:sz w:val="22"/>
                <w:szCs w:val="22"/>
              </w:rPr>
            </w:pPr>
            <w:r w:rsidRPr="00C17470">
              <w:rPr>
                <w:color w:val="000000" w:themeColor="text1"/>
                <w:sz w:val="22"/>
                <w:szCs w:val="22"/>
              </w:rPr>
              <w:t>$1.5 million</w:t>
            </w:r>
          </w:p>
        </w:tc>
        <w:tc>
          <w:tcPr>
            <w:tcW w:w="2127" w:type="dxa"/>
            <w:tcBorders>
              <w:top w:val="single" w:sz="4" w:space="0" w:color="auto"/>
              <w:left w:val="nil"/>
              <w:bottom w:val="single" w:sz="4" w:space="0" w:color="auto"/>
              <w:right w:val="nil"/>
            </w:tcBorders>
            <w:vAlign w:val="center"/>
          </w:tcPr>
          <w:p w14:paraId="4C5BB39D" w14:textId="2B42B20D" w:rsidR="00031E4A" w:rsidRPr="003F3A6B" w:rsidRDefault="00C17470" w:rsidP="001D08F0">
            <w:pPr>
              <w:jc w:val="center"/>
              <w:rPr>
                <w:color w:val="000000" w:themeColor="text1"/>
                <w:sz w:val="22"/>
                <w:szCs w:val="22"/>
              </w:rPr>
            </w:pPr>
            <w:r w:rsidRPr="003F3A6B">
              <w:rPr>
                <w:color w:val="000000" w:themeColor="text1"/>
                <w:sz w:val="22"/>
                <w:szCs w:val="22"/>
              </w:rPr>
              <w:t>$1.6 million</w:t>
            </w:r>
          </w:p>
        </w:tc>
      </w:tr>
      <w:tr w:rsidR="00031E4A" w14:paraId="4317E882" w14:textId="77777777" w:rsidTr="001D08F0">
        <w:trPr>
          <w:trHeight w:val="420"/>
        </w:trPr>
        <w:tc>
          <w:tcPr>
            <w:tcW w:w="2062" w:type="dxa"/>
            <w:tcBorders>
              <w:top w:val="single" w:sz="4" w:space="0" w:color="auto"/>
              <w:left w:val="nil"/>
              <w:bottom w:val="single" w:sz="4" w:space="0" w:color="auto"/>
              <w:right w:val="nil"/>
            </w:tcBorders>
            <w:vAlign w:val="center"/>
            <w:hideMark/>
          </w:tcPr>
          <w:p w14:paraId="10B7DA77" w14:textId="77777777" w:rsidR="00031E4A" w:rsidRPr="00C17470" w:rsidRDefault="00031E4A" w:rsidP="001D08F0">
            <w:pPr>
              <w:jc w:val="center"/>
              <w:rPr>
                <w:color w:val="000000" w:themeColor="text1"/>
                <w:sz w:val="22"/>
                <w:szCs w:val="22"/>
              </w:rPr>
            </w:pPr>
            <w:r w:rsidRPr="00C17470">
              <w:rPr>
                <w:color w:val="000000" w:themeColor="text1"/>
                <w:sz w:val="22"/>
                <w:szCs w:val="22"/>
              </w:rPr>
              <w:t>Madison</w:t>
            </w:r>
          </w:p>
        </w:tc>
        <w:tc>
          <w:tcPr>
            <w:tcW w:w="2043" w:type="dxa"/>
            <w:tcBorders>
              <w:top w:val="single" w:sz="4" w:space="0" w:color="auto"/>
              <w:left w:val="nil"/>
              <w:bottom w:val="single" w:sz="4" w:space="0" w:color="auto"/>
              <w:right w:val="nil"/>
            </w:tcBorders>
            <w:vAlign w:val="center"/>
            <w:hideMark/>
          </w:tcPr>
          <w:p w14:paraId="3277B878" w14:textId="51DAC31C" w:rsidR="00031E4A" w:rsidRPr="00C17470" w:rsidRDefault="00C17470" w:rsidP="001D08F0">
            <w:pPr>
              <w:jc w:val="center"/>
              <w:rPr>
                <w:color w:val="000000" w:themeColor="text1"/>
                <w:sz w:val="22"/>
                <w:szCs w:val="22"/>
              </w:rPr>
            </w:pPr>
            <w:r w:rsidRPr="00C17470">
              <w:rPr>
                <w:color w:val="000000" w:themeColor="text1"/>
                <w:sz w:val="22"/>
                <w:szCs w:val="22"/>
              </w:rPr>
              <w:t>0</w:t>
            </w:r>
          </w:p>
          <w:p w14:paraId="7844C664" w14:textId="479E6B3E" w:rsidR="00C17470" w:rsidRPr="00C17470" w:rsidRDefault="00C17470" w:rsidP="001D08F0">
            <w:pPr>
              <w:jc w:val="center"/>
              <w:rPr>
                <w:color w:val="000000" w:themeColor="text1"/>
                <w:sz w:val="22"/>
                <w:szCs w:val="22"/>
              </w:rPr>
            </w:pPr>
          </w:p>
        </w:tc>
        <w:tc>
          <w:tcPr>
            <w:tcW w:w="2279" w:type="dxa"/>
            <w:tcBorders>
              <w:top w:val="single" w:sz="4" w:space="0" w:color="auto"/>
              <w:left w:val="nil"/>
              <w:bottom w:val="single" w:sz="4" w:space="0" w:color="auto"/>
              <w:right w:val="nil"/>
            </w:tcBorders>
            <w:vAlign w:val="center"/>
            <w:hideMark/>
          </w:tcPr>
          <w:p w14:paraId="017BEF41" w14:textId="293EC0E6" w:rsidR="00031E4A" w:rsidRPr="00C17470" w:rsidRDefault="00C17470" w:rsidP="001D08F0">
            <w:pPr>
              <w:jc w:val="center"/>
              <w:rPr>
                <w:color w:val="000000" w:themeColor="text1"/>
                <w:sz w:val="22"/>
                <w:szCs w:val="22"/>
              </w:rPr>
            </w:pPr>
            <w:r w:rsidRPr="00C17470">
              <w:rPr>
                <w:color w:val="000000" w:themeColor="text1"/>
                <w:sz w:val="22"/>
                <w:szCs w:val="22"/>
              </w:rPr>
              <w:t>$195,000</w:t>
            </w:r>
          </w:p>
        </w:tc>
        <w:tc>
          <w:tcPr>
            <w:tcW w:w="2127" w:type="dxa"/>
            <w:tcBorders>
              <w:top w:val="single" w:sz="4" w:space="0" w:color="auto"/>
              <w:left w:val="nil"/>
              <w:bottom w:val="single" w:sz="4" w:space="0" w:color="auto"/>
              <w:right w:val="nil"/>
            </w:tcBorders>
            <w:vAlign w:val="center"/>
          </w:tcPr>
          <w:p w14:paraId="0A964D16" w14:textId="1F84BE2F" w:rsidR="00031E4A" w:rsidRPr="003F3A6B" w:rsidRDefault="00C17470" w:rsidP="001D08F0">
            <w:pPr>
              <w:jc w:val="center"/>
              <w:rPr>
                <w:color w:val="000000" w:themeColor="text1"/>
                <w:sz w:val="22"/>
                <w:szCs w:val="22"/>
              </w:rPr>
            </w:pPr>
            <w:r w:rsidRPr="003F3A6B">
              <w:rPr>
                <w:color w:val="000000" w:themeColor="text1"/>
                <w:sz w:val="22"/>
                <w:szCs w:val="22"/>
              </w:rPr>
              <w:t>$46,000</w:t>
            </w:r>
          </w:p>
        </w:tc>
      </w:tr>
      <w:tr w:rsidR="00031E4A" w14:paraId="6C96BC44" w14:textId="77777777" w:rsidTr="001D08F0">
        <w:trPr>
          <w:trHeight w:val="420"/>
        </w:trPr>
        <w:tc>
          <w:tcPr>
            <w:tcW w:w="2062" w:type="dxa"/>
            <w:tcBorders>
              <w:top w:val="single" w:sz="4" w:space="0" w:color="auto"/>
              <w:left w:val="nil"/>
              <w:bottom w:val="single" w:sz="4" w:space="0" w:color="auto"/>
              <w:right w:val="nil"/>
            </w:tcBorders>
            <w:vAlign w:val="center"/>
            <w:hideMark/>
          </w:tcPr>
          <w:p w14:paraId="073FAC51" w14:textId="77777777" w:rsidR="00031E4A" w:rsidRPr="00C17470" w:rsidRDefault="00031E4A" w:rsidP="001D08F0">
            <w:pPr>
              <w:jc w:val="center"/>
              <w:rPr>
                <w:color w:val="000000" w:themeColor="text1"/>
                <w:sz w:val="22"/>
                <w:szCs w:val="22"/>
              </w:rPr>
            </w:pPr>
            <w:r w:rsidRPr="00C17470">
              <w:rPr>
                <w:color w:val="000000" w:themeColor="text1"/>
                <w:sz w:val="22"/>
                <w:szCs w:val="22"/>
              </w:rPr>
              <w:t>Jefferson</w:t>
            </w:r>
          </w:p>
        </w:tc>
        <w:tc>
          <w:tcPr>
            <w:tcW w:w="2043" w:type="dxa"/>
            <w:tcBorders>
              <w:top w:val="single" w:sz="4" w:space="0" w:color="auto"/>
              <w:left w:val="nil"/>
              <w:bottom w:val="single" w:sz="4" w:space="0" w:color="auto"/>
              <w:right w:val="nil"/>
            </w:tcBorders>
            <w:vAlign w:val="center"/>
            <w:hideMark/>
          </w:tcPr>
          <w:p w14:paraId="30C25C92" w14:textId="3DCEC418" w:rsidR="00031E4A" w:rsidRPr="00C17470" w:rsidRDefault="00C17470" w:rsidP="001D08F0">
            <w:pPr>
              <w:jc w:val="center"/>
              <w:rPr>
                <w:color w:val="000000" w:themeColor="text1"/>
                <w:sz w:val="22"/>
                <w:szCs w:val="22"/>
              </w:rPr>
            </w:pPr>
            <w:r w:rsidRPr="00C17470">
              <w:rPr>
                <w:color w:val="000000" w:themeColor="text1"/>
                <w:sz w:val="22"/>
                <w:szCs w:val="22"/>
              </w:rPr>
              <w:t>0</w:t>
            </w:r>
          </w:p>
        </w:tc>
        <w:tc>
          <w:tcPr>
            <w:tcW w:w="2279" w:type="dxa"/>
            <w:tcBorders>
              <w:top w:val="single" w:sz="4" w:space="0" w:color="auto"/>
              <w:left w:val="nil"/>
              <w:bottom w:val="single" w:sz="4" w:space="0" w:color="auto"/>
              <w:right w:val="nil"/>
            </w:tcBorders>
            <w:vAlign w:val="center"/>
            <w:hideMark/>
          </w:tcPr>
          <w:p w14:paraId="2B6608E9" w14:textId="733830D3" w:rsidR="00031E4A" w:rsidRPr="00C17470" w:rsidRDefault="00C17470" w:rsidP="001D08F0">
            <w:pPr>
              <w:jc w:val="center"/>
              <w:rPr>
                <w:color w:val="000000" w:themeColor="text1"/>
                <w:sz w:val="22"/>
                <w:szCs w:val="22"/>
              </w:rPr>
            </w:pPr>
            <w:r w:rsidRPr="00C17470">
              <w:rPr>
                <w:color w:val="000000" w:themeColor="text1"/>
                <w:sz w:val="22"/>
                <w:szCs w:val="22"/>
              </w:rPr>
              <w:t>$109,000</w:t>
            </w:r>
          </w:p>
        </w:tc>
        <w:tc>
          <w:tcPr>
            <w:tcW w:w="2127" w:type="dxa"/>
            <w:tcBorders>
              <w:top w:val="single" w:sz="4" w:space="0" w:color="auto"/>
              <w:left w:val="nil"/>
              <w:bottom w:val="single" w:sz="4" w:space="0" w:color="auto"/>
              <w:right w:val="nil"/>
            </w:tcBorders>
            <w:vAlign w:val="center"/>
          </w:tcPr>
          <w:p w14:paraId="04708B25" w14:textId="62E4112A" w:rsidR="00031E4A" w:rsidRPr="003F3A6B" w:rsidRDefault="00C17470" w:rsidP="001D08F0">
            <w:pPr>
              <w:jc w:val="center"/>
              <w:rPr>
                <w:color w:val="000000" w:themeColor="text1"/>
                <w:sz w:val="22"/>
                <w:szCs w:val="22"/>
              </w:rPr>
            </w:pPr>
            <w:r w:rsidRPr="003F3A6B">
              <w:rPr>
                <w:color w:val="000000" w:themeColor="text1"/>
                <w:sz w:val="22"/>
                <w:szCs w:val="22"/>
              </w:rPr>
              <w:t>$41,000</w:t>
            </w:r>
          </w:p>
        </w:tc>
      </w:tr>
      <w:tr w:rsidR="00031E4A" w14:paraId="0E9905AA" w14:textId="77777777" w:rsidTr="001D08F0">
        <w:trPr>
          <w:trHeight w:val="420"/>
        </w:trPr>
        <w:tc>
          <w:tcPr>
            <w:tcW w:w="2062" w:type="dxa"/>
            <w:tcBorders>
              <w:top w:val="single" w:sz="4" w:space="0" w:color="auto"/>
              <w:left w:val="nil"/>
              <w:bottom w:val="single" w:sz="4" w:space="0" w:color="auto"/>
              <w:right w:val="nil"/>
            </w:tcBorders>
            <w:vAlign w:val="center"/>
            <w:hideMark/>
          </w:tcPr>
          <w:p w14:paraId="6DC174E3" w14:textId="77777777" w:rsidR="00031E4A" w:rsidRPr="00C17470" w:rsidRDefault="00031E4A" w:rsidP="001D08F0">
            <w:pPr>
              <w:jc w:val="center"/>
              <w:rPr>
                <w:color w:val="000000" w:themeColor="text1"/>
                <w:sz w:val="22"/>
                <w:szCs w:val="22"/>
              </w:rPr>
            </w:pPr>
            <w:r w:rsidRPr="00C17470">
              <w:rPr>
                <w:color w:val="000000" w:themeColor="text1"/>
                <w:sz w:val="22"/>
                <w:szCs w:val="22"/>
              </w:rPr>
              <w:t>Franklin</w:t>
            </w:r>
          </w:p>
        </w:tc>
        <w:tc>
          <w:tcPr>
            <w:tcW w:w="2043" w:type="dxa"/>
            <w:tcBorders>
              <w:top w:val="single" w:sz="4" w:space="0" w:color="auto"/>
              <w:left w:val="nil"/>
              <w:bottom w:val="single" w:sz="4" w:space="0" w:color="auto"/>
              <w:right w:val="nil"/>
            </w:tcBorders>
            <w:vAlign w:val="center"/>
            <w:hideMark/>
          </w:tcPr>
          <w:p w14:paraId="31AE0FCB" w14:textId="4CF957C4" w:rsidR="00031E4A" w:rsidRPr="00C17470" w:rsidRDefault="00C17470" w:rsidP="001D08F0">
            <w:pPr>
              <w:jc w:val="center"/>
              <w:rPr>
                <w:color w:val="000000" w:themeColor="text1"/>
                <w:sz w:val="22"/>
                <w:szCs w:val="22"/>
              </w:rPr>
            </w:pPr>
            <w:r w:rsidRPr="00C17470">
              <w:rPr>
                <w:color w:val="000000" w:themeColor="text1"/>
                <w:sz w:val="22"/>
                <w:szCs w:val="22"/>
              </w:rPr>
              <w:t>0</w:t>
            </w:r>
          </w:p>
        </w:tc>
        <w:tc>
          <w:tcPr>
            <w:tcW w:w="2279" w:type="dxa"/>
            <w:tcBorders>
              <w:top w:val="single" w:sz="4" w:space="0" w:color="auto"/>
              <w:left w:val="nil"/>
              <w:bottom w:val="single" w:sz="4" w:space="0" w:color="auto"/>
              <w:right w:val="nil"/>
            </w:tcBorders>
            <w:vAlign w:val="center"/>
            <w:hideMark/>
          </w:tcPr>
          <w:p w14:paraId="7DA0A4CD" w14:textId="5903804E" w:rsidR="00031E4A" w:rsidRPr="00C17470" w:rsidRDefault="00C17470" w:rsidP="001D08F0">
            <w:pPr>
              <w:jc w:val="center"/>
              <w:rPr>
                <w:color w:val="000000" w:themeColor="text1"/>
                <w:sz w:val="22"/>
                <w:szCs w:val="22"/>
              </w:rPr>
            </w:pPr>
            <w:r w:rsidRPr="00C17470">
              <w:rPr>
                <w:color w:val="000000" w:themeColor="text1"/>
                <w:sz w:val="22"/>
                <w:szCs w:val="22"/>
              </w:rPr>
              <w:t>$10,000</w:t>
            </w:r>
          </w:p>
        </w:tc>
        <w:tc>
          <w:tcPr>
            <w:tcW w:w="2127" w:type="dxa"/>
            <w:tcBorders>
              <w:top w:val="single" w:sz="4" w:space="0" w:color="auto"/>
              <w:left w:val="nil"/>
              <w:bottom w:val="single" w:sz="4" w:space="0" w:color="auto"/>
              <w:right w:val="nil"/>
            </w:tcBorders>
            <w:vAlign w:val="center"/>
          </w:tcPr>
          <w:p w14:paraId="16DF464F" w14:textId="028ADC6C" w:rsidR="00031E4A" w:rsidRPr="003F3A6B" w:rsidRDefault="00C17470" w:rsidP="001D08F0">
            <w:pPr>
              <w:jc w:val="center"/>
              <w:rPr>
                <w:color w:val="000000" w:themeColor="text1"/>
                <w:sz w:val="22"/>
                <w:szCs w:val="22"/>
              </w:rPr>
            </w:pPr>
            <w:r w:rsidRPr="003F3A6B">
              <w:rPr>
                <w:color w:val="000000" w:themeColor="text1"/>
                <w:sz w:val="22"/>
                <w:szCs w:val="22"/>
              </w:rPr>
              <w:t>$28,000</w:t>
            </w:r>
          </w:p>
        </w:tc>
      </w:tr>
      <w:tr w:rsidR="00031E4A" w14:paraId="3AB7CDD3" w14:textId="77777777" w:rsidTr="001D08F0">
        <w:trPr>
          <w:trHeight w:val="420"/>
        </w:trPr>
        <w:tc>
          <w:tcPr>
            <w:tcW w:w="2062" w:type="dxa"/>
            <w:tcBorders>
              <w:top w:val="single" w:sz="4" w:space="0" w:color="auto"/>
              <w:left w:val="nil"/>
              <w:bottom w:val="single" w:sz="4" w:space="0" w:color="auto"/>
              <w:right w:val="nil"/>
            </w:tcBorders>
            <w:vAlign w:val="center"/>
            <w:hideMark/>
          </w:tcPr>
          <w:p w14:paraId="1F7B10BE" w14:textId="77777777" w:rsidR="00031E4A" w:rsidRPr="00C17470" w:rsidRDefault="00031E4A" w:rsidP="001D08F0">
            <w:pPr>
              <w:jc w:val="center"/>
              <w:rPr>
                <w:color w:val="000000" w:themeColor="text1"/>
                <w:sz w:val="22"/>
                <w:szCs w:val="22"/>
              </w:rPr>
            </w:pPr>
            <w:r w:rsidRPr="00C17470">
              <w:rPr>
                <w:color w:val="000000" w:themeColor="text1"/>
                <w:sz w:val="22"/>
                <w:szCs w:val="22"/>
              </w:rPr>
              <w:t>Lemhi</w:t>
            </w:r>
          </w:p>
        </w:tc>
        <w:tc>
          <w:tcPr>
            <w:tcW w:w="2043" w:type="dxa"/>
            <w:tcBorders>
              <w:top w:val="single" w:sz="4" w:space="0" w:color="auto"/>
              <w:left w:val="nil"/>
              <w:bottom w:val="single" w:sz="4" w:space="0" w:color="auto"/>
              <w:right w:val="nil"/>
            </w:tcBorders>
            <w:vAlign w:val="center"/>
            <w:hideMark/>
          </w:tcPr>
          <w:p w14:paraId="4F3E1586" w14:textId="2AE726AA" w:rsidR="00031E4A" w:rsidRPr="00C17470" w:rsidRDefault="00C17470" w:rsidP="001D08F0">
            <w:pPr>
              <w:jc w:val="center"/>
              <w:rPr>
                <w:color w:val="000000" w:themeColor="text1"/>
                <w:sz w:val="22"/>
                <w:szCs w:val="22"/>
              </w:rPr>
            </w:pPr>
            <w:r w:rsidRPr="00C17470">
              <w:rPr>
                <w:color w:val="000000" w:themeColor="text1"/>
                <w:sz w:val="22"/>
                <w:szCs w:val="22"/>
              </w:rPr>
              <w:t>0</w:t>
            </w:r>
          </w:p>
        </w:tc>
        <w:tc>
          <w:tcPr>
            <w:tcW w:w="2279" w:type="dxa"/>
            <w:tcBorders>
              <w:top w:val="single" w:sz="4" w:space="0" w:color="auto"/>
              <w:left w:val="nil"/>
              <w:bottom w:val="single" w:sz="4" w:space="0" w:color="auto"/>
              <w:right w:val="nil"/>
            </w:tcBorders>
            <w:vAlign w:val="center"/>
            <w:hideMark/>
          </w:tcPr>
          <w:p w14:paraId="1BCCA0FB" w14:textId="14AA24A1" w:rsidR="00031E4A" w:rsidRPr="00C17470" w:rsidRDefault="00C17470" w:rsidP="001D08F0">
            <w:pPr>
              <w:jc w:val="center"/>
              <w:rPr>
                <w:color w:val="000000" w:themeColor="text1"/>
                <w:sz w:val="22"/>
                <w:szCs w:val="22"/>
              </w:rPr>
            </w:pPr>
            <w:r w:rsidRPr="00C17470">
              <w:rPr>
                <w:color w:val="000000" w:themeColor="text1"/>
                <w:sz w:val="22"/>
                <w:szCs w:val="22"/>
              </w:rPr>
              <w:t>$125,000</w:t>
            </w:r>
          </w:p>
        </w:tc>
        <w:tc>
          <w:tcPr>
            <w:tcW w:w="2127" w:type="dxa"/>
            <w:tcBorders>
              <w:top w:val="single" w:sz="4" w:space="0" w:color="auto"/>
              <w:left w:val="nil"/>
              <w:bottom w:val="single" w:sz="4" w:space="0" w:color="auto"/>
              <w:right w:val="nil"/>
            </w:tcBorders>
            <w:vAlign w:val="center"/>
          </w:tcPr>
          <w:p w14:paraId="144874DC" w14:textId="66DB5FD2" w:rsidR="00031E4A" w:rsidRPr="003F3A6B" w:rsidRDefault="00C17470" w:rsidP="001D08F0">
            <w:pPr>
              <w:jc w:val="center"/>
              <w:rPr>
                <w:color w:val="000000" w:themeColor="text1"/>
                <w:sz w:val="22"/>
                <w:szCs w:val="22"/>
              </w:rPr>
            </w:pPr>
            <w:r w:rsidRPr="003F3A6B">
              <w:rPr>
                <w:color w:val="000000" w:themeColor="text1"/>
                <w:sz w:val="22"/>
                <w:szCs w:val="22"/>
              </w:rPr>
              <w:t>$24,000</w:t>
            </w:r>
          </w:p>
        </w:tc>
      </w:tr>
      <w:tr w:rsidR="00031E4A" w14:paraId="22C66167" w14:textId="77777777" w:rsidTr="001D08F0">
        <w:trPr>
          <w:trHeight w:val="420"/>
        </w:trPr>
        <w:tc>
          <w:tcPr>
            <w:tcW w:w="2062" w:type="dxa"/>
            <w:tcBorders>
              <w:top w:val="single" w:sz="4" w:space="0" w:color="auto"/>
              <w:left w:val="nil"/>
              <w:bottom w:val="single" w:sz="4" w:space="0" w:color="auto"/>
              <w:right w:val="nil"/>
            </w:tcBorders>
            <w:vAlign w:val="center"/>
            <w:hideMark/>
          </w:tcPr>
          <w:p w14:paraId="385FF071" w14:textId="77777777" w:rsidR="00031E4A" w:rsidRPr="00C17470" w:rsidRDefault="00031E4A" w:rsidP="001D08F0">
            <w:pPr>
              <w:jc w:val="center"/>
              <w:rPr>
                <w:color w:val="000000" w:themeColor="text1"/>
                <w:sz w:val="22"/>
                <w:szCs w:val="22"/>
              </w:rPr>
            </w:pPr>
            <w:r w:rsidRPr="00C17470">
              <w:rPr>
                <w:color w:val="000000" w:themeColor="text1"/>
                <w:sz w:val="22"/>
                <w:szCs w:val="22"/>
              </w:rPr>
              <w:t>Power</w:t>
            </w:r>
          </w:p>
        </w:tc>
        <w:tc>
          <w:tcPr>
            <w:tcW w:w="2043" w:type="dxa"/>
            <w:tcBorders>
              <w:top w:val="single" w:sz="4" w:space="0" w:color="auto"/>
              <w:left w:val="nil"/>
              <w:bottom w:val="single" w:sz="4" w:space="0" w:color="auto"/>
              <w:right w:val="nil"/>
            </w:tcBorders>
            <w:vAlign w:val="center"/>
            <w:hideMark/>
          </w:tcPr>
          <w:p w14:paraId="53980241" w14:textId="53DC5694" w:rsidR="00031E4A" w:rsidRPr="00C17470" w:rsidRDefault="00C17470" w:rsidP="001D08F0">
            <w:pPr>
              <w:jc w:val="center"/>
              <w:rPr>
                <w:color w:val="000000" w:themeColor="text1"/>
                <w:sz w:val="22"/>
                <w:szCs w:val="22"/>
              </w:rPr>
            </w:pPr>
            <w:r w:rsidRPr="00C17470">
              <w:rPr>
                <w:color w:val="000000" w:themeColor="text1"/>
                <w:sz w:val="22"/>
                <w:szCs w:val="22"/>
              </w:rPr>
              <w:t>0</w:t>
            </w:r>
          </w:p>
        </w:tc>
        <w:tc>
          <w:tcPr>
            <w:tcW w:w="2279" w:type="dxa"/>
            <w:tcBorders>
              <w:top w:val="single" w:sz="4" w:space="0" w:color="auto"/>
              <w:left w:val="nil"/>
              <w:bottom w:val="single" w:sz="4" w:space="0" w:color="auto"/>
              <w:right w:val="nil"/>
            </w:tcBorders>
            <w:vAlign w:val="center"/>
            <w:hideMark/>
          </w:tcPr>
          <w:p w14:paraId="099B6456" w14:textId="22B26D86" w:rsidR="00031E4A" w:rsidRPr="00C17470" w:rsidRDefault="00C17470" w:rsidP="001D08F0">
            <w:pPr>
              <w:jc w:val="center"/>
              <w:rPr>
                <w:color w:val="000000" w:themeColor="text1"/>
                <w:sz w:val="22"/>
                <w:szCs w:val="22"/>
              </w:rPr>
            </w:pPr>
            <w:r w:rsidRPr="00C17470">
              <w:rPr>
                <w:color w:val="000000" w:themeColor="text1"/>
                <w:sz w:val="22"/>
                <w:szCs w:val="22"/>
              </w:rPr>
              <w:t>$1,700</w:t>
            </w:r>
          </w:p>
        </w:tc>
        <w:tc>
          <w:tcPr>
            <w:tcW w:w="2127" w:type="dxa"/>
            <w:tcBorders>
              <w:top w:val="single" w:sz="4" w:space="0" w:color="auto"/>
              <w:left w:val="nil"/>
              <w:bottom w:val="single" w:sz="4" w:space="0" w:color="auto"/>
              <w:right w:val="nil"/>
            </w:tcBorders>
            <w:vAlign w:val="center"/>
          </w:tcPr>
          <w:p w14:paraId="29650039" w14:textId="2C63C35A" w:rsidR="00031E4A" w:rsidRPr="003F3A6B" w:rsidRDefault="00C17470" w:rsidP="001D08F0">
            <w:pPr>
              <w:jc w:val="center"/>
              <w:rPr>
                <w:color w:val="000000" w:themeColor="text1"/>
                <w:sz w:val="22"/>
                <w:szCs w:val="22"/>
              </w:rPr>
            </w:pPr>
            <w:r w:rsidRPr="003F3A6B">
              <w:rPr>
                <w:color w:val="000000" w:themeColor="text1"/>
                <w:sz w:val="22"/>
                <w:szCs w:val="22"/>
              </w:rPr>
              <w:t>$19,000</w:t>
            </w:r>
          </w:p>
        </w:tc>
      </w:tr>
      <w:tr w:rsidR="00031E4A" w14:paraId="433EE08B" w14:textId="77777777" w:rsidTr="001D08F0">
        <w:trPr>
          <w:trHeight w:val="420"/>
        </w:trPr>
        <w:tc>
          <w:tcPr>
            <w:tcW w:w="2062" w:type="dxa"/>
            <w:tcBorders>
              <w:top w:val="single" w:sz="4" w:space="0" w:color="auto"/>
              <w:left w:val="nil"/>
              <w:bottom w:val="single" w:sz="4" w:space="0" w:color="auto"/>
              <w:right w:val="nil"/>
            </w:tcBorders>
            <w:vAlign w:val="center"/>
            <w:hideMark/>
          </w:tcPr>
          <w:p w14:paraId="2F9365F7" w14:textId="77777777" w:rsidR="00031E4A" w:rsidRPr="00C17470" w:rsidRDefault="00031E4A" w:rsidP="001D08F0">
            <w:pPr>
              <w:jc w:val="center"/>
              <w:rPr>
                <w:color w:val="000000" w:themeColor="text1"/>
                <w:sz w:val="22"/>
                <w:szCs w:val="22"/>
              </w:rPr>
            </w:pPr>
            <w:r w:rsidRPr="00C17470">
              <w:rPr>
                <w:color w:val="000000" w:themeColor="text1"/>
                <w:sz w:val="22"/>
                <w:szCs w:val="22"/>
              </w:rPr>
              <w:t>Bear Lake</w:t>
            </w:r>
          </w:p>
        </w:tc>
        <w:tc>
          <w:tcPr>
            <w:tcW w:w="2043" w:type="dxa"/>
            <w:tcBorders>
              <w:top w:val="single" w:sz="4" w:space="0" w:color="auto"/>
              <w:left w:val="nil"/>
              <w:bottom w:val="single" w:sz="4" w:space="0" w:color="auto"/>
              <w:right w:val="nil"/>
            </w:tcBorders>
            <w:vAlign w:val="center"/>
            <w:hideMark/>
          </w:tcPr>
          <w:p w14:paraId="44BB7B63" w14:textId="59E62B9B" w:rsidR="00031E4A" w:rsidRPr="00C17470" w:rsidRDefault="00C17470" w:rsidP="001D08F0">
            <w:pPr>
              <w:jc w:val="center"/>
              <w:rPr>
                <w:color w:val="000000" w:themeColor="text1"/>
                <w:sz w:val="22"/>
                <w:szCs w:val="22"/>
              </w:rPr>
            </w:pPr>
            <w:r w:rsidRPr="00C17470">
              <w:rPr>
                <w:color w:val="000000" w:themeColor="text1"/>
                <w:sz w:val="22"/>
                <w:szCs w:val="22"/>
              </w:rPr>
              <w:t>0</w:t>
            </w:r>
          </w:p>
        </w:tc>
        <w:tc>
          <w:tcPr>
            <w:tcW w:w="2279" w:type="dxa"/>
            <w:tcBorders>
              <w:top w:val="single" w:sz="4" w:space="0" w:color="auto"/>
              <w:left w:val="nil"/>
              <w:bottom w:val="single" w:sz="4" w:space="0" w:color="auto"/>
              <w:right w:val="nil"/>
            </w:tcBorders>
            <w:vAlign w:val="center"/>
            <w:hideMark/>
          </w:tcPr>
          <w:p w14:paraId="677969D1" w14:textId="20FC7908" w:rsidR="00031E4A" w:rsidRPr="00C17470" w:rsidRDefault="00C17470" w:rsidP="001D08F0">
            <w:pPr>
              <w:jc w:val="center"/>
              <w:rPr>
                <w:color w:val="000000" w:themeColor="text1"/>
                <w:sz w:val="22"/>
                <w:szCs w:val="22"/>
              </w:rPr>
            </w:pPr>
            <w:r w:rsidRPr="00C17470">
              <w:rPr>
                <w:color w:val="000000" w:themeColor="text1"/>
                <w:sz w:val="22"/>
                <w:szCs w:val="22"/>
              </w:rPr>
              <w:t>$7,500</w:t>
            </w:r>
          </w:p>
        </w:tc>
        <w:tc>
          <w:tcPr>
            <w:tcW w:w="2127" w:type="dxa"/>
            <w:tcBorders>
              <w:top w:val="single" w:sz="4" w:space="0" w:color="auto"/>
              <w:left w:val="nil"/>
              <w:bottom w:val="single" w:sz="4" w:space="0" w:color="auto"/>
              <w:right w:val="nil"/>
            </w:tcBorders>
            <w:vAlign w:val="center"/>
          </w:tcPr>
          <w:p w14:paraId="37DD637F" w14:textId="594363A4" w:rsidR="00031E4A" w:rsidRPr="003F3A6B" w:rsidRDefault="00C17470" w:rsidP="001D08F0">
            <w:pPr>
              <w:jc w:val="center"/>
              <w:rPr>
                <w:color w:val="000000" w:themeColor="text1"/>
                <w:sz w:val="22"/>
                <w:szCs w:val="22"/>
              </w:rPr>
            </w:pPr>
            <w:r w:rsidRPr="003F3A6B">
              <w:rPr>
                <w:color w:val="000000" w:themeColor="text1"/>
                <w:sz w:val="22"/>
                <w:szCs w:val="22"/>
              </w:rPr>
              <w:t>$5,700</w:t>
            </w:r>
          </w:p>
        </w:tc>
      </w:tr>
      <w:tr w:rsidR="00031E4A" w14:paraId="4A26D200" w14:textId="77777777" w:rsidTr="001D08F0">
        <w:trPr>
          <w:trHeight w:val="420"/>
        </w:trPr>
        <w:tc>
          <w:tcPr>
            <w:tcW w:w="2062" w:type="dxa"/>
            <w:tcBorders>
              <w:top w:val="single" w:sz="4" w:space="0" w:color="auto"/>
              <w:left w:val="nil"/>
              <w:bottom w:val="single" w:sz="4" w:space="0" w:color="auto"/>
              <w:right w:val="nil"/>
            </w:tcBorders>
            <w:vAlign w:val="center"/>
            <w:hideMark/>
          </w:tcPr>
          <w:p w14:paraId="5E39136E" w14:textId="77777777" w:rsidR="00031E4A" w:rsidRPr="00C17470" w:rsidRDefault="00031E4A" w:rsidP="001D08F0">
            <w:pPr>
              <w:jc w:val="center"/>
              <w:rPr>
                <w:color w:val="000000" w:themeColor="text1"/>
                <w:sz w:val="22"/>
                <w:szCs w:val="22"/>
              </w:rPr>
            </w:pPr>
            <w:r w:rsidRPr="00C17470">
              <w:rPr>
                <w:color w:val="000000" w:themeColor="text1"/>
                <w:sz w:val="22"/>
                <w:szCs w:val="22"/>
              </w:rPr>
              <w:t>Oneida</w:t>
            </w:r>
          </w:p>
        </w:tc>
        <w:tc>
          <w:tcPr>
            <w:tcW w:w="2043" w:type="dxa"/>
            <w:tcBorders>
              <w:top w:val="single" w:sz="4" w:space="0" w:color="auto"/>
              <w:left w:val="nil"/>
              <w:bottom w:val="single" w:sz="4" w:space="0" w:color="auto"/>
              <w:right w:val="nil"/>
            </w:tcBorders>
            <w:vAlign w:val="center"/>
            <w:hideMark/>
          </w:tcPr>
          <w:p w14:paraId="4EAB421F" w14:textId="6999D61D" w:rsidR="00031E4A" w:rsidRPr="00C17470" w:rsidRDefault="00C17470" w:rsidP="001D08F0">
            <w:pPr>
              <w:jc w:val="center"/>
              <w:rPr>
                <w:color w:val="000000" w:themeColor="text1"/>
                <w:sz w:val="22"/>
                <w:szCs w:val="22"/>
              </w:rPr>
            </w:pPr>
            <w:r w:rsidRPr="00C17470">
              <w:rPr>
                <w:color w:val="000000" w:themeColor="text1"/>
                <w:sz w:val="22"/>
                <w:szCs w:val="22"/>
              </w:rPr>
              <w:t>0</w:t>
            </w:r>
          </w:p>
        </w:tc>
        <w:tc>
          <w:tcPr>
            <w:tcW w:w="2279" w:type="dxa"/>
            <w:tcBorders>
              <w:top w:val="single" w:sz="4" w:space="0" w:color="auto"/>
              <w:left w:val="nil"/>
              <w:bottom w:val="single" w:sz="4" w:space="0" w:color="auto"/>
              <w:right w:val="nil"/>
            </w:tcBorders>
            <w:vAlign w:val="center"/>
            <w:hideMark/>
          </w:tcPr>
          <w:p w14:paraId="1B146CF7" w14:textId="132F4104" w:rsidR="00031E4A" w:rsidRPr="00C17470" w:rsidRDefault="00C17470" w:rsidP="001D08F0">
            <w:pPr>
              <w:jc w:val="center"/>
              <w:rPr>
                <w:color w:val="000000" w:themeColor="text1"/>
                <w:sz w:val="22"/>
                <w:szCs w:val="22"/>
              </w:rPr>
            </w:pPr>
            <w:r w:rsidRPr="00C17470">
              <w:rPr>
                <w:color w:val="000000" w:themeColor="text1"/>
                <w:sz w:val="22"/>
                <w:szCs w:val="22"/>
              </w:rPr>
              <w:t>$34</w:t>
            </w:r>
          </w:p>
        </w:tc>
        <w:tc>
          <w:tcPr>
            <w:tcW w:w="2127" w:type="dxa"/>
            <w:tcBorders>
              <w:top w:val="single" w:sz="4" w:space="0" w:color="auto"/>
              <w:left w:val="nil"/>
              <w:bottom w:val="single" w:sz="4" w:space="0" w:color="auto"/>
              <w:right w:val="nil"/>
            </w:tcBorders>
            <w:vAlign w:val="center"/>
          </w:tcPr>
          <w:p w14:paraId="79A50111" w14:textId="54C1223F" w:rsidR="00031E4A" w:rsidRPr="003F3A6B" w:rsidRDefault="006569BF" w:rsidP="001D08F0">
            <w:pPr>
              <w:jc w:val="center"/>
              <w:rPr>
                <w:color w:val="000000" w:themeColor="text1"/>
                <w:sz w:val="22"/>
                <w:szCs w:val="22"/>
              </w:rPr>
            </w:pPr>
            <w:r w:rsidRPr="003F3A6B">
              <w:rPr>
                <w:color w:val="000000" w:themeColor="text1"/>
                <w:sz w:val="22"/>
                <w:szCs w:val="22"/>
              </w:rPr>
              <w:t>$0</w:t>
            </w:r>
          </w:p>
        </w:tc>
      </w:tr>
      <w:tr w:rsidR="00031E4A" w14:paraId="21B28C5E" w14:textId="77777777" w:rsidTr="001D08F0">
        <w:trPr>
          <w:trHeight w:val="420"/>
        </w:trPr>
        <w:tc>
          <w:tcPr>
            <w:tcW w:w="2062" w:type="dxa"/>
            <w:tcBorders>
              <w:top w:val="single" w:sz="4" w:space="0" w:color="auto"/>
              <w:left w:val="nil"/>
              <w:bottom w:val="single" w:sz="4" w:space="0" w:color="auto"/>
              <w:right w:val="nil"/>
            </w:tcBorders>
            <w:vAlign w:val="center"/>
            <w:hideMark/>
          </w:tcPr>
          <w:p w14:paraId="4E532856" w14:textId="77777777" w:rsidR="00031E4A" w:rsidRPr="00C17470" w:rsidRDefault="00031E4A" w:rsidP="001D08F0">
            <w:pPr>
              <w:jc w:val="center"/>
              <w:rPr>
                <w:color w:val="000000" w:themeColor="text1"/>
                <w:sz w:val="22"/>
                <w:szCs w:val="22"/>
              </w:rPr>
            </w:pPr>
            <w:r w:rsidRPr="00C17470">
              <w:rPr>
                <w:color w:val="000000" w:themeColor="text1"/>
                <w:sz w:val="22"/>
                <w:szCs w:val="22"/>
              </w:rPr>
              <w:t>Clark</w:t>
            </w:r>
          </w:p>
        </w:tc>
        <w:tc>
          <w:tcPr>
            <w:tcW w:w="2043" w:type="dxa"/>
            <w:tcBorders>
              <w:top w:val="single" w:sz="4" w:space="0" w:color="auto"/>
              <w:left w:val="nil"/>
              <w:bottom w:val="single" w:sz="4" w:space="0" w:color="auto"/>
              <w:right w:val="nil"/>
            </w:tcBorders>
            <w:vAlign w:val="center"/>
            <w:hideMark/>
          </w:tcPr>
          <w:p w14:paraId="673F3904" w14:textId="28533918" w:rsidR="00031E4A" w:rsidRPr="00C17470" w:rsidRDefault="00C17470" w:rsidP="001D08F0">
            <w:pPr>
              <w:jc w:val="center"/>
              <w:rPr>
                <w:color w:val="000000" w:themeColor="text1"/>
                <w:sz w:val="22"/>
                <w:szCs w:val="22"/>
              </w:rPr>
            </w:pPr>
            <w:r w:rsidRPr="00C17470">
              <w:rPr>
                <w:color w:val="000000" w:themeColor="text1"/>
                <w:sz w:val="22"/>
                <w:szCs w:val="22"/>
              </w:rPr>
              <w:t>0</w:t>
            </w:r>
          </w:p>
        </w:tc>
        <w:tc>
          <w:tcPr>
            <w:tcW w:w="2279" w:type="dxa"/>
            <w:tcBorders>
              <w:top w:val="single" w:sz="4" w:space="0" w:color="auto"/>
              <w:left w:val="nil"/>
              <w:bottom w:val="single" w:sz="4" w:space="0" w:color="auto"/>
              <w:right w:val="nil"/>
            </w:tcBorders>
            <w:vAlign w:val="center"/>
            <w:hideMark/>
          </w:tcPr>
          <w:p w14:paraId="7F7B3D1E" w14:textId="6CC952C1" w:rsidR="00031E4A" w:rsidRPr="00C17470" w:rsidRDefault="00C17470" w:rsidP="001D08F0">
            <w:pPr>
              <w:jc w:val="center"/>
              <w:rPr>
                <w:color w:val="000000" w:themeColor="text1"/>
                <w:sz w:val="22"/>
                <w:szCs w:val="22"/>
              </w:rPr>
            </w:pPr>
            <w:r w:rsidRPr="00C17470">
              <w:rPr>
                <w:color w:val="000000" w:themeColor="text1"/>
                <w:sz w:val="22"/>
                <w:szCs w:val="22"/>
              </w:rPr>
              <w:t>$1,400</w:t>
            </w:r>
          </w:p>
        </w:tc>
        <w:tc>
          <w:tcPr>
            <w:tcW w:w="2127" w:type="dxa"/>
            <w:tcBorders>
              <w:top w:val="single" w:sz="4" w:space="0" w:color="auto"/>
              <w:left w:val="nil"/>
              <w:bottom w:val="single" w:sz="4" w:space="0" w:color="auto"/>
              <w:right w:val="nil"/>
            </w:tcBorders>
            <w:vAlign w:val="center"/>
          </w:tcPr>
          <w:p w14:paraId="35E4B2F7" w14:textId="104BAA80" w:rsidR="00031E4A" w:rsidRPr="003F3A6B" w:rsidRDefault="006569BF" w:rsidP="001D08F0">
            <w:pPr>
              <w:jc w:val="center"/>
              <w:rPr>
                <w:color w:val="000000" w:themeColor="text1"/>
                <w:sz w:val="22"/>
                <w:szCs w:val="22"/>
              </w:rPr>
            </w:pPr>
            <w:r w:rsidRPr="003F3A6B">
              <w:rPr>
                <w:color w:val="000000" w:themeColor="text1"/>
                <w:sz w:val="22"/>
                <w:szCs w:val="22"/>
              </w:rPr>
              <w:t>$0</w:t>
            </w:r>
          </w:p>
        </w:tc>
      </w:tr>
      <w:tr w:rsidR="00031E4A" w14:paraId="7BFF692D" w14:textId="77777777" w:rsidTr="001D08F0">
        <w:trPr>
          <w:trHeight w:val="420"/>
        </w:trPr>
        <w:tc>
          <w:tcPr>
            <w:tcW w:w="2062" w:type="dxa"/>
            <w:tcBorders>
              <w:top w:val="single" w:sz="4" w:space="0" w:color="auto"/>
              <w:left w:val="nil"/>
              <w:bottom w:val="single" w:sz="4" w:space="0" w:color="auto"/>
              <w:right w:val="nil"/>
            </w:tcBorders>
            <w:vAlign w:val="center"/>
            <w:hideMark/>
          </w:tcPr>
          <w:p w14:paraId="59BFB56F" w14:textId="77777777" w:rsidR="00031E4A" w:rsidRPr="00C17470" w:rsidRDefault="00031E4A" w:rsidP="001D08F0">
            <w:pPr>
              <w:jc w:val="center"/>
              <w:rPr>
                <w:color w:val="000000" w:themeColor="text1"/>
                <w:sz w:val="22"/>
                <w:szCs w:val="22"/>
              </w:rPr>
            </w:pPr>
            <w:r w:rsidRPr="00C17470">
              <w:rPr>
                <w:color w:val="000000" w:themeColor="text1"/>
                <w:sz w:val="22"/>
                <w:szCs w:val="22"/>
              </w:rPr>
              <w:t>Caribou</w:t>
            </w:r>
          </w:p>
        </w:tc>
        <w:tc>
          <w:tcPr>
            <w:tcW w:w="2043" w:type="dxa"/>
            <w:tcBorders>
              <w:top w:val="single" w:sz="4" w:space="0" w:color="auto"/>
              <w:left w:val="nil"/>
              <w:bottom w:val="single" w:sz="4" w:space="0" w:color="auto"/>
              <w:right w:val="nil"/>
            </w:tcBorders>
            <w:vAlign w:val="center"/>
            <w:hideMark/>
          </w:tcPr>
          <w:p w14:paraId="1BC22384" w14:textId="77777777" w:rsidR="00031E4A" w:rsidRPr="00C17470" w:rsidRDefault="00031E4A" w:rsidP="001D08F0">
            <w:pPr>
              <w:jc w:val="center"/>
              <w:rPr>
                <w:color w:val="C00000"/>
                <w:sz w:val="22"/>
                <w:szCs w:val="22"/>
              </w:rPr>
            </w:pPr>
            <w:r w:rsidRPr="00C17470">
              <w:rPr>
                <w:color w:val="C00000"/>
                <w:sz w:val="22"/>
                <w:szCs w:val="22"/>
              </w:rPr>
              <w:t>-4.</w:t>
            </w:r>
            <w:r w:rsidR="00C17470" w:rsidRPr="00C17470">
              <w:rPr>
                <w:color w:val="C00000"/>
                <w:sz w:val="22"/>
                <w:szCs w:val="22"/>
              </w:rPr>
              <w:t>4</w:t>
            </w:r>
            <w:r w:rsidRPr="00C17470">
              <w:rPr>
                <w:color w:val="C00000"/>
                <w:sz w:val="22"/>
                <w:szCs w:val="22"/>
              </w:rPr>
              <w:t>%</w:t>
            </w:r>
          </w:p>
          <w:p w14:paraId="2AA04183" w14:textId="01D9319C" w:rsidR="00C17470" w:rsidRPr="00C17470" w:rsidRDefault="00C17470" w:rsidP="001D08F0">
            <w:pPr>
              <w:jc w:val="center"/>
              <w:rPr>
                <w:color w:val="C00000"/>
                <w:sz w:val="22"/>
                <w:szCs w:val="22"/>
              </w:rPr>
            </w:pPr>
            <w:r w:rsidRPr="00C17470">
              <w:rPr>
                <w:color w:val="C00000"/>
                <w:sz w:val="22"/>
                <w:szCs w:val="22"/>
              </w:rPr>
              <w:t>(-1)</w:t>
            </w:r>
          </w:p>
        </w:tc>
        <w:tc>
          <w:tcPr>
            <w:tcW w:w="2279" w:type="dxa"/>
            <w:tcBorders>
              <w:top w:val="single" w:sz="4" w:space="0" w:color="auto"/>
              <w:left w:val="nil"/>
              <w:bottom w:val="single" w:sz="4" w:space="0" w:color="auto"/>
              <w:right w:val="nil"/>
            </w:tcBorders>
            <w:vAlign w:val="center"/>
            <w:hideMark/>
          </w:tcPr>
          <w:p w14:paraId="60FDFE6D" w14:textId="6A1CC896" w:rsidR="00031E4A" w:rsidRPr="00C17470" w:rsidRDefault="00C17470" w:rsidP="001D08F0">
            <w:pPr>
              <w:jc w:val="center"/>
              <w:rPr>
                <w:color w:val="000000" w:themeColor="text1"/>
                <w:sz w:val="22"/>
                <w:szCs w:val="22"/>
              </w:rPr>
            </w:pPr>
            <w:r w:rsidRPr="00C17470">
              <w:rPr>
                <w:color w:val="000000" w:themeColor="text1"/>
                <w:sz w:val="22"/>
                <w:szCs w:val="22"/>
              </w:rPr>
              <w:t>$36,000</w:t>
            </w:r>
          </w:p>
        </w:tc>
        <w:tc>
          <w:tcPr>
            <w:tcW w:w="2127" w:type="dxa"/>
            <w:tcBorders>
              <w:top w:val="single" w:sz="4" w:space="0" w:color="auto"/>
              <w:left w:val="nil"/>
              <w:bottom w:val="single" w:sz="4" w:space="0" w:color="auto"/>
              <w:right w:val="nil"/>
            </w:tcBorders>
            <w:vAlign w:val="center"/>
          </w:tcPr>
          <w:p w14:paraId="0B169283" w14:textId="40A37950" w:rsidR="00031E4A" w:rsidRPr="003F3A6B" w:rsidRDefault="003F3A6B" w:rsidP="001D08F0">
            <w:pPr>
              <w:jc w:val="center"/>
              <w:rPr>
                <w:color w:val="000000" w:themeColor="text1"/>
                <w:sz w:val="22"/>
                <w:szCs w:val="22"/>
              </w:rPr>
            </w:pPr>
            <w:r w:rsidRPr="003F3A6B">
              <w:rPr>
                <w:color w:val="000000" w:themeColor="text1"/>
                <w:sz w:val="22"/>
                <w:szCs w:val="22"/>
              </w:rPr>
              <w:t>$21,500</w:t>
            </w:r>
          </w:p>
        </w:tc>
      </w:tr>
      <w:tr w:rsidR="00031E4A" w14:paraId="525F0C50" w14:textId="77777777" w:rsidTr="001D08F0">
        <w:trPr>
          <w:trHeight w:val="377"/>
        </w:trPr>
        <w:tc>
          <w:tcPr>
            <w:tcW w:w="2062" w:type="dxa"/>
            <w:tcBorders>
              <w:top w:val="single" w:sz="4" w:space="0" w:color="auto"/>
              <w:left w:val="nil"/>
              <w:bottom w:val="single" w:sz="4" w:space="0" w:color="auto"/>
              <w:right w:val="nil"/>
            </w:tcBorders>
            <w:vAlign w:val="center"/>
            <w:hideMark/>
          </w:tcPr>
          <w:p w14:paraId="1072EF64" w14:textId="77777777" w:rsidR="00031E4A" w:rsidRPr="00C17470" w:rsidRDefault="00031E4A" w:rsidP="001D08F0">
            <w:pPr>
              <w:jc w:val="center"/>
              <w:rPr>
                <w:color w:val="000000" w:themeColor="text1"/>
                <w:sz w:val="22"/>
                <w:szCs w:val="22"/>
              </w:rPr>
            </w:pPr>
            <w:r w:rsidRPr="00C17470">
              <w:rPr>
                <w:color w:val="000000" w:themeColor="text1"/>
                <w:sz w:val="22"/>
                <w:szCs w:val="22"/>
              </w:rPr>
              <w:t>Butte</w:t>
            </w:r>
          </w:p>
        </w:tc>
        <w:tc>
          <w:tcPr>
            <w:tcW w:w="2043" w:type="dxa"/>
            <w:tcBorders>
              <w:top w:val="single" w:sz="4" w:space="0" w:color="auto"/>
              <w:left w:val="nil"/>
              <w:bottom w:val="single" w:sz="4" w:space="0" w:color="auto"/>
              <w:right w:val="nil"/>
            </w:tcBorders>
            <w:vAlign w:val="center"/>
            <w:hideMark/>
          </w:tcPr>
          <w:p w14:paraId="0450D90F" w14:textId="77777777" w:rsidR="00031E4A" w:rsidRPr="00C17470" w:rsidRDefault="00031E4A" w:rsidP="001D08F0">
            <w:pPr>
              <w:jc w:val="center"/>
              <w:rPr>
                <w:color w:val="C00000"/>
                <w:sz w:val="22"/>
                <w:szCs w:val="22"/>
              </w:rPr>
            </w:pPr>
            <w:r w:rsidRPr="00C17470">
              <w:rPr>
                <w:color w:val="C00000"/>
                <w:sz w:val="22"/>
                <w:szCs w:val="22"/>
              </w:rPr>
              <w:t>-33.</w:t>
            </w:r>
            <w:r w:rsidR="00C17470" w:rsidRPr="00C17470">
              <w:rPr>
                <w:color w:val="C00000"/>
                <w:sz w:val="22"/>
                <w:szCs w:val="22"/>
              </w:rPr>
              <w:t xml:space="preserve"> </w:t>
            </w:r>
            <w:r w:rsidRPr="00C17470">
              <w:rPr>
                <w:color w:val="C00000"/>
                <w:sz w:val="22"/>
                <w:szCs w:val="22"/>
              </w:rPr>
              <w:t>3%</w:t>
            </w:r>
          </w:p>
          <w:p w14:paraId="2456958A" w14:textId="2CA3CE73" w:rsidR="00C17470" w:rsidRPr="00C17470" w:rsidRDefault="00C17470" w:rsidP="001D08F0">
            <w:pPr>
              <w:jc w:val="center"/>
              <w:rPr>
                <w:color w:val="C00000"/>
                <w:sz w:val="22"/>
                <w:szCs w:val="22"/>
              </w:rPr>
            </w:pPr>
            <w:r w:rsidRPr="00C17470">
              <w:rPr>
                <w:color w:val="C00000"/>
                <w:sz w:val="22"/>
                <w:szCs w:val="22"/>
              </w:rPr>
              <w:t>(-2)</w:t>
            </w:r>
          </w:p>
        </w:tc>
        <w:tc>
          <w:tcPr>
            <w:tcW w:w="2279" w:type="dxa"/>
            <w:tcBorders>
              <w:top w:val="single" w:sz="4" w:space="0" w:color="auto"/>
              <w:left w:val="nil"/>
              <w:bottom w:val="single" w:sz="4" w:space="0" w:color="auto"/>
              <w:right w:val="nil"/>
            </w:tcBorders>
            <w:vAlign w:val="center"/>
            <w:hideMark/>
          </w:tcPr>
          <w:p w14:paraId="28B38A2E" w14:textId="7E184C82" w:rsidR="00031E4A" w:rsidRPr="00C17470" w:rsidRDefault="00031E4A" w:rsidP="001D08F0">
            <w:pPr>
              <w:jc w:val="center"/>
              <w:rPr>
                <w:color w:val="000000" w:themeColor="text1"/>
                <w:sz w:val="22"/>
                <w:szCs w:val="22"/>
              </w:rPr>
            </w:pPr>
            <w:r w:rsidRPr="00C17470">
              <w:rPr>
                <w:color w:val="C00000"/>
                <w:sz w:val="22"/>
                <w:szCs w:val="22"/>
              </w:rPr>
              <w:t>($4,</w:t>
            </w:r>
            <w:r w:rsidR="00C17470" w:rsidRPr="00C17470">
              <w:rPr>
                <w:color w:val="C00000"/>
                <w:sz w:val="22"/>
                <w:szCs w:val="22"/>
              </w:rPr>
              <w:t>000</w:t>
            </w:r>
            <w:r w:rsidRPr="00C17470">
              <w:rPr>
                <w:color w:val="C00000"/>
                <w:sz w:val="22"/>
                <w:szCs w:val="22"/>
              </w:rPr>
              <w:t>)</w:t>
            </w:r>
          </w:p>
        </w:tc>
        <w:tc>
          <w:tcPr>
            <w:tcW w:w="2127" w:type="dxa"/>
            <w:tcBorders>
              <w:top w:val="single" w:sz="4" w:space="0" w:color="auto"/>
              <w:left w:val="nil"/>
              <w:bottom w:val="single" w:sz="4" w:space="0" w:color="auto"/>
              <w:right w:val="nil"/>
            </w:tcBorders>
            <w:vAlign w:val="center"/>
          </w:tcPr>
          <w:p w14:paraId="0AC8BF49" w14:textId="379592C0" w:rsidR="00031E4A" w:rsidRPr="003F3A6B" w:rsidRDefault="003F3A6B" w:rsidP="001D08F0">
            <w:pPr>
              <w:jc w:val="center"/>
              <w:rPr>
                <w:color w:val="000000" w:themeColor="text1"/>
                <w:sz w:val="22"/>
                <w:szCs w:val="22"/>
              </w:rPr>
            </w:pPr>
            <w:r>
              <w:rPr>
                <w:color w:val="000000" w:themeColor="text1"/>
                <w:sz w:val="22"/>
                <w:szCs w:val="22"/>
              </w:rPr>
              <w:t>$6,0</w:t>
            </w:r>
            <w:r w:rsidRPr="003F3A6B">
              <w:rPr>
                <w:color w:val="000000" w:themeColor="text1"/>
                <w:sz w:val="22"/>
                <w:szCs w:val="22"/>
              </w:rPr>
              <w:t>00</w:t>
            </w:r>
          </w:p>
        </w:tc>
      </w:tr>
      <w:tr w:rsidR="00031E4A" w14:paraId="7D2A214E" w14:textId="77777777" w:rsidTr="001D08F0">
        <w:trPr>
          <w:trHeight w:val="377"/>
        </w:trPr>
        <w:tc>
          <w:tcPr>
            <w:tcW w:w="2062" w:type="dxa"/>
            <w:tcBorders>
              <w:top w:val="single" w:sz="4" w:space="0" w:color="auto"/>
              <w:left w:val="nil"/>
              <w:bottom w:val="single" w:sz="4" w:space="0" w:color="auto"/>
              <w:right w:val="nil"/>
            </w:tcBorders>
            <w:vAlign w:val="center"/>
            <w:hideMark/>
          </w:tcPr>
          <w:p w14:paraId="23684D21" w14:textId="77777777" w:rsidR="00031E4A" w:rsidRPr="00C17470" w:rsidRDefault="00031E4A" w:rsidP="001D08F0">
            <w:pPr>
              <w:jc w:val="center"/>
              <w:rPr>
                <w:b/>
                <w:color w:val="000000" w:themeColor="text1"/>
                <w:sz w:val="22"/>
                <w:szCs w:val="22"/>
              </w:rPr>
            </w:pPr>
            <w:r w:rsidRPr="00C17470">
              <w:rPr>
                <w:b/>
                <w:color w:val="000000" w:themeColor="text1"/>
                <w:sz w:val="22"/>
                <w:szCs w:val="22"/>
              </w:rPr>
              <w:t>Eastern Idaho Region</w:t>
            </w:r>
          </w:p>
        </w:tc>
        <w:tc>
          <w:tcPr>
            <w:tcW w:w="2043" w:type="dxa"/>
            <w:tcBorders>
              <w:top w:val="single" w:sz="4" w:space="0" w:color="auto"/>
              <w:left w:val="nil"/>
              <w:bottom w:val="single" w:sz="4" w:space="0" w:color="auto"/>
              <w:right w:val="nil"/>
            </w:tcBorders>
            <w:vAlign w:val="center"/>
            <w:hideMark/>
          </w:tcPr>
          <w:p w14:paraId="7363AC53" w14:textId="53BA3DD7" w:rsidR="00031E4A" w:rsidRPr="00C17470" w:rsidRDefault="00031E4A" w:rsidP="001D08F0">
            <w:pPr>
              <w:jc w:val="center"/>
              <w:rPr>
                <w:b/>
                <w:color w:val="C00000"/>
                <w:sz w:val="22"/>
                <w:szCs w:val="22"/>
              </w:rPr>
            </w:pPr>
            <w:r w:rsidRPr="00C17470">
              <w:rPr>
                <w:b/>
                <w:color w:val="000000" w:themeColor="text1"/>
                <w:sz w:val="22"/>
                <w:szCs w:val="22"/>
              </w:rPr>
              <w:t>1.</w:t>
            </w:r>
            <w:r w:rsidR="00C17470" w:rsidRPr="00C17470">
              <w:rPr>
                <w:b/>
                <w:color w:val="000000" w:themeColor="text1"/>
                <w:sz w:val="22"/>
                <w:szCs w:val="22"/>
              </w:rPr>
              <w:t>5</w:t>
            </w:r>
            <w:r w:rsidRPr="00C17470">
              <w:rPr>
                <w:b/>
                <w:color w:val="000000" w:themeColor="text1"/>
                <w:sz w:val="22"/>
                <w:szCs w:val="22"/>
              </w:rPr>
              <w:t>%</w:t>
            </w:r>
          </w:p>
        </w:tc>
        <w:tc>
          <w:tcPr>
            <w:tcW w:w="2279" w:type="dxa"/>
            <w:tcBorders>
              <w:top w:val="single" w:sz="4" w:space="0" w:color="auto"/>
              <w:left w:val="nil"/>
              <w:bottom w:val="single" w:sz="4" w:space="0" w:color="auto"/>
              <w:right w:val="nil"/>
            </w:tcBorders>
            <w:vAlign w:val="center"/>
            <w:hideMark/>
          </w:tcPr>
          <w:p w14:paraId="51D6D4FA" w14:textId="750C47FE" w:rsidR="00031E4A" w:rsidRPr="00C17470" w:rsidRDefault="00C17470" w:rsidP="001D08F0">
            <w:pPr>
              <w:jc w:val="center"/>
              <w:rPr>
                <w:b/>
                <w:color w:val="C00000"/>
                <w:sz w:val="22"/>
                <w:szCs w:val="22"/>
              </w:rPr>
            </w:pPr>
            <w:r w:rsidRPr="00C17470">
              <w:rPr>
                <w:b/>
                <w:color w:val="000000" w:themeColor="text1"/>
                <w:sz w:val="22"/>
                <w:szCs w:val="22"/>
              </w:rPr>
              <w:t>$3.7 million</w:t>
            </w:r>
          </w:p>
        </w:tc>
        <w:tc>
          <w:tcPr>
            <w:tcW w:w="2127" w:type="dxa"/>
            <w:tcBorders>
              <w:top w:val="single" w:sz="4" w:space="0" w:color="auto"/>
              <w:left w:val="nil"/>
              <w:bottom w:val="single" w:sz="4" w:space="0" w:color="auto"/>
              <w:right w:val="nil"/>
            </w:tcBorders>
            <w:vAlign w:val="center"/>
          </w:tcPr>
          <w:p w14:paraId="39B55928" w14:textId="2333CC84" w:rsidR="00031E4A" w:rsidRPr="00C17470" w:rsidRDefault="00C17470" w:rsidP="001D08F0">
            <w:pPr>
              <w:jc w:val="center"/>
              <w:rPr>
                <w:b/>
                <w:color w:val="C00000"/>
                <w:sz w:val="22"/>
                <w:szCs w:val="22"/>
                <w:highlight w:val="yellow"/>
              </w:rPr>
            </w:pPr>
            <w:r w:rsidRPr="00C17470">
              <w:rPr>
                <w:b/>
                <w:color w:val="000000" w:themeColor="text1"/>
                <w:sz w:val="22"/>
                <w:szCs w:val="22"/>
              </w:rPr>
              <w:t>$2.8 million</w:t>
            </w:r>
          </w:p>
        </w:tc>
      </w:tr>
    </w:tbl>
    <w:p w14:paraId="610AB286" w14:textId="6EE14E92" w:rsidR="00E83009" w:rsidRPr="00A2154B" w:rsidRDefault="001D08F0" w:rsidP="00E83009">
      <w:pPr>
        <w:rPr>
          <w:b/>
          <w:bCs/>
          <w:color w:val="000000" w:themeColor="text1"/>
          <w:sz w:val="22"/>
          <w:szCs w:val="22"/>
        </w:rPr>
      </w:pPr>
      <w:r>
        <w:rPr>
          <w:b/>
          <w:color w:val="000000" w:themeColor="text1"/>
        </w:rPr>
        <w:br/>
      </w:r>
      <w:r w:rsidR="00E83009" w:rsidRPr="00A2154B">
        <w:rPr>
          <w:b/>
          <w:color w:val="000000" w:themeColor="text1"/>
          <w:sz w:val="22"/>
          <w:szCs w:val="22"/>
        </w:rPr>
        <w:t xml:space="preserve">Note: </w:t>
      </w:r>
      <w:r w:rsidR="00E83009" w:rsidRPr="00A2154B">
        <w:rPr>
          <w:color w:val="000000" w:themeColor="text1"/>
          <w:sz w:val="22"/>
          <w:szCs w:val="22"/>
        </w:rPr>
        <w:t>Reduction in account ownership or savings may be a result of account owners using funds for qualified higher education expenses or closing the accounts.</w:t>
      </w:r>
      <w:r w:rsidR="00E83009" w:rsidRPr="00A2154B">
        <w:rPr>
          <w:b/>
          <w:color w:val="000000" w:themeColor="text1"/>
          <w:sz w:val="22"/>
          <w:szCs w:val="22"/>
        </w:rPr>
        <w:t xml:space="preserve"> </w:t>
      </w:r>
      <w:r w:rsidR="00E83009" w:rsidRPr="00A2154B">
        <w:rPr>
          <w:color w:val="000000" w:themeColor="text1"/>
          <w:sz w:val="22"/>
          <w:szCs w:val="22"/>
        </w:rPr>
        <w:t>Numbers reported here are rounded.</w:t>
      </w:r>
      <w:r w:rsidR="00E83009" w:rsidRPr="00A2154B">
        <w:rPr>
          <w:b/>
          <w:color w:val="000000" w:themeColor="text1"/>
          <w:sz w:val="22"/>
          <w:szCs w:val="22"/>
        </w:rPr>
        <w:t xml:space="preserve"> </w:t>
      </w:r>
      <w:r w:rsidR="00034AED" w:rsidRPr="00A2154B">
        <w:rPr>
          <w:color w:val="000000" w:themeColor="text1"/>
          <w:sz w:val="22"/>
          <w:szCs w:val="22"/>
        </w:rPr>
        <w:t xml:space="preserve">Data reported in this report compares 9/30/2016 to 9/30/2017. </w:t>
      </w:r>
      <w:r w:rsidR="00E83009" w:rsidRPr="00A2154B">
        <w:rPr>
          <w:b/>
          <w:color w:val="000000" w:themeColor="text1"/>
          <w:sz w:val="22"/>
          <w:szCs w:val="22"/>
        </w:rPr>
        <w:br w:type="page"/>
      </w:r>
    </w:p>
    <w:p w14:paraId="1FE331C9" w14:textId="77777777" w:rsidR="00031E4A" w:rsidRDefault="00031E4A" w:rsidP="00031E4A">
      <w:pPr>
        <w:rPr>
          <w:b/>
          <w:sz w:val="32"/>
        </w:rPr>
      </w:pPr>
    </w:p>
    <w:p w14:paraId="191B7A8F" w14:textId="77777777" w:rsidR="00031E4A" w:rsidRDefault="00031E4A" w:rsidP="00031E4A">
      <w:pPr>
        <w:rPr>
          <w:b/>
          <w:bCs/>
          <w:sz w:val="32"/>
        </w:rPr>
      </w:pPr>
      <w:r>
        <w:rPr>
          <w:b/>
          <w:bCs/>
          <w:sz w:val="32"/>
        </w:rPr>
        <w:t>Conclusion</w:t>
      </w:r>
    </w:p>
    <w:p w14:paraId="4E397273" w14:textId="77777777" w:rsidR="00031E4A" w:rsidRDefault="00031E4A" w:rsidP="00031E4A">
      <w:pPr>
        <w:rPr>
          <w:sz w:val="22"/>
        </w:rPr>
      </w:pPr>
    </w:p>
    <w:p w14:paraId="0CE88FF4" w14:textId="0E9E33D8" w:rsidR="00031E4A" w:rsidRDefault="00031E4A" w:rsidP="00031E4A">
      <w:pPr>
        <w:rPr>
          <w:sz w:val="22"/>
        </w:rPr>
      </w:pPr>
      <w:r>
        <w:rPr>
          <w:sz w:val="22"/>
        </w:rPr>
        <w:t xml:space="preserve">The incremental increase among Idahoans in saving for college demonstrated in this report is the result of work by not only </w:t>
      </w:r>
      <w:proofErr w:type="spellStart"/>
      <w:r>
        <w:rPr>
          <w:sz w:val="22"/>
        </w:rPr>
        <w:t>IDeal</w:t>
      </w:r>
      <w:proofErr w:type="spellEnd"/>
      <w:r>
        <w:rPr>
          <w:sz w:val="22"/>
        </w:rPr>
        <w:t xml:space="preserve">—Idaho 529 College Savings Program, but also the many community stakeholders, educators, and organizations that have helped promote the </w:t>
      </w:r>
      <w:r w:rsidR="000C4DCF">
        <w:rPr>
          <w:sz w:val="22"/>
        </w:rPr>
        <w:t>P</w:t>
      </w:r>
      <w:r>
        <w:rPr>
          <w:sz w:val="22"/>
        </w:rPr>
        <w:t xml:space="preserve">rogram to Idaho families. </w:t>
      </w:r>
    </w:p>
    <w:p w14:paraId="50E745E0" w14:textId="77777777" w:rsidR="00031E4A" w:rsidRDefault="00031E4A" w:rsidP="00031E4A">
      <w:pPr>
        <w:rPr>
          <w:sz w:val="22"/>
        </w:rPr>
      </w:pPr>
    </w:p>
    <w:p w14:paraId="707AA3FF" w14:textId="4C74B635" w:rsidR="000C4DCF" w:rsidRDefault="00031E4A" w:rsidP="00031E4A">
      <w:pPr>
        <w:rPr>
          <w:sz w:val="22"/>
        </w:rPr>
      </w:pPr>
      <w:r>
        <w:rPr>
          <w:sz w:val="22"/>
        </w:rPr>
        <w:t>This report provides a benchmark for the coming years, and in</w:t>
      </w:r>
      <w:r w:rsidR="00C21553">
        <w:rPr>
          <w:sz w:val="22"/>
        </w:rPr>
        <w:t>t</w:t>
      </w:r>
      <w:r>
        <w:rPr>
          <w:sz w:val="22"/>
        </w:rPr>
        <w:t xml:space="preserve">ends to show local communities both good news and room for improvement. As </w:t>
      </w:r>
      <w:proofErr w:type="spellStart"/>
      <w:r>
        <w:rPr>
          <w:sz w:val="22"/>
        </w:rPr>
        <w:t>IDeal</w:t>
      </w:r>
      <w:proofErr w:type="spellEnd"/>
      <w:r>
        <w:rPr>
          <w:sz w:val="22"/>
        </w:rPr>
        <w:t xml:space="preserve"> continues our work, we thank those who have supported the </w:t>
      </w:r>
      <w:r w:rsidR="0061445B">
        <w:rPr>
          <w:sz w:val="22"/>
        </w:rPr>
        <w:t>P</w:t>
      </w:r>
      <w:r>
        <w:rPr>
          <w:sz w:val="22"/>
        </w:rPr>
        <w:t>rogram</w:t>
      </w:r>
      <w:r w:rsidR="0061445B">
        <w:rPr>
          <w:sz w:val="22"/>
        </w:rPr>
        <w:t>.  We ask that co</w:t>
      </w:r>
      <w:r>
        <w:rPr>
          <w:sz w:val="22"/>
        </w:rPr>
        <w:t xml:space="preserve">mmunity officials and leaders </w:t>
      </w:r>
      <w:r w:rsidR="0061445B">
        <w:rPr>
          <w:sz w:val="22"/>
        </w:rPr>
        <w:t xml:space="preserve">throughout our state </w:t>
      </w:r>
      <w:r>
        <w:rPr>
          <w:sz w:val="22"/>
        </w:rPr>
        <w:t>take the opportunity to get the word out to Idaho families about this powerful tool for overcoming the financial barriers to higher education.</w:t>
      </w:r>
      <w:r w:rsidR="000C4DCF">
        <w:rPr>
          <w:sz w:val="22"/>
        </w:rPr>
        <w:t xml:space="preserve">  It only takes $25to start saving now. Learn more at </w:t>
      </w:r>
      <w:r w:rsidR="005E7933" w:rsidRPr="004F1400">
        <w:rPr>
          <w:b/>
          <w:sz w:val="22"/>
          <w:u w:val="single"/>
        </w:rPr>
        <w:t>idsaves</w:t>
      </w:r>
      <w:r w:rsidR="000C4DCF" w:rsidRPr="004F1400">
        <w:rPr>
          <w:b/>
          <w:sz w:val="22"/>
          <w:u w:val="single"/>
        </w:rPr>
        <w:t>.org</w:t>
      </w:r>
    </w:p>
    <w:p w14:paraId="10CB1BE3" w14:textId="77777777" w:rsidR="00031E4A" w:rsidRDefault="00031E4A" w:rsidP="00031E4A"/>
    <w:p w14:paraId="5AF98058" w14:textId="77777777" w:rsidR="009E6C86" w:rsidRDefault="009E6C86"/>
    <w:sectPr w:rsidR="009E6C86" w:rsidSect="001D08F0">
      <w:footerReference w:type="even" r:id="rId12"/>
      <w:footerReference w:type="default" r:id="rId13"/>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6C916" w14:textId="77777777" w:rsidR="00DC7A83" w:rsidRDefault="00DC7A83" w:rsidP="00031E4A">
      <w:r>
        <w:separator/>
      </w:r>
    </w:p>
  </w:endnote>
  <w:endnote w:type="continuationSeparator" w:id="0">
    <w:p w14:paraId="636AAE20" w14:textId="77777777" w:rsidR="00DC7A83" w:rsidRDefault="00DC7A83" w:rsidP="00031E4A">
      <w:r>
        <w:continuationSeparator/>
      </w:r>
    </w:p>
  </w:endnote>
  <w:endnote w:id="1">
    <w:p w14:paraId="07AFA1EB" w14:textId="77777777" w:rsidR="001C2D10" w:rsidRDefault="001C2D10" w:rsidP="00031E4A">
      <w:pPr>
        <w:pStyle w:val="EndnoteText"/>
      </w:pPr>
      <w:r>
        <w:rPr>
          <w:rStyle w:val="EndnoteReference"/>
        </w:rPr>
        <w:endnoteRef/>
      </w:r>
      <w:r>
        <w:t xml:space="preserve"> </w:t>
      </w:r>
      <w:r>
        <w:rPr>
          <w:i/>
        </w:rPr>
        <w:t xml:space="preserve">The Economist, </w:t>
      </w:r>
      <w:r>
        <w:t xml:space="preserve">“Is College Worth It?” </w:t>
      </w:r>
      <w:hyperlink r:id="rId1" w:history="1">
        <w:r>
          <w:rPr>
            <w:rStyle w:val="Hyperlink"/>
          </w:rPr>
          <w:t>https://www.economist.com/news/united-states/21600131-too-many-degrees-are-waste-money-return-higher-education-would-be-much-better</w:t>
        </w:r>
      </w:hyperlink>
      <w:r>
        <w:t xml:space="preserve"> </w:t>
      </w:r>
    </w:p>
  </w:endnote>
  <w:endnote w:id="2">
    <w:p w14:paraId="77E359AF" w14:textId="77777777" w:rsidR="001C2D10" w:rsidRDefault="001C2D10" w:rsidP="00031E4A">
      <w:pPr>
        <w:pStyle w:val="EndnoteText"/>
      </w:pPr>
      <w:r>
        <w:rPr>
          <w:rStyle w:val="EndnoteReference"/>
        </w:rPr>
        <w:endnoteRef/>
      </w:r>
      <w:r>
        <w:t xml:space="preserve"> </w:t>
      </w:r>
      <w:hyperlink r:id="rId2" w:history="1">
        <w:r>
          <w:rPr>
            <w:rStyle w:val="Hyperlink"/>
          </w:rPr>
          <w:t>https://source.wustl.edu/2011/04/kids-with-savings-accounts-in-their-name-six-times-more-likely-to-attend-college/</w:t>
        </w:r>
      </w:hyperlink>
      <w:r>
        <w:t xml:space="preserve"> </w:t>
      </w:r>
      <w:r>
        <w:br/>
      </w:r>
    </w:p>
    <w:p w14:paraId="67F490F0" w14:textId="77777777" w:rsidR="001C2D10" w:rsidRDefault="00DC7A83" w:rsidP="00031E4A">
      <w:pPr>
        <w:pStyle w:val="EndnoteText"/>
      </w:pPr>
      <w:hyperlink r:id="rId3" w:history="1">
        <w:r w:rsidR="001C2D10">
          <w:rPr>
            <w:rStyle w:val="Hyperlink"/>
          </w:rPr>
          <w:t>https://csd.wustl.edu/publications/documents/rpb09-29.pdf</w:t>
        </w:r>
      </w:hyperlink>
      <w:r w:rsidR="001C2D10">
        <w:t xml:space="preserve"> </w:t>
      </w:r>
    </w:p>
    <w:p w14:paraId="2C693A5B" w14:textId="77777777" w:rsidR="001C2D10" w:rsidRDefault="001C2D10" w:rsidP="00031E4A">
      <w:pPr>
        <w:pStyle w:val="EndnoteText"/>
      </w:pPr>
    </w:p>
    <w:p w14:paraId="5BF06F80" w14:textId="77777777" w:rsidR="001C2D10" w:rsidRDefault="001C2D10" w:rsidP="00031E4A">
      <w:pPr>
        <w:pBdr>
          <w:bottom w:val="thinThickThinMediumGap" w:sz="18" w:space="1" w:color="auto"/>
        </w:pBdr>
      </w:pPr>
    </w:p>
    <w:p w14:paraId="31F2756A" w14:textId="77777777" w:rsidR="001C2D10" w:rsidRDefault="001C2D10" w:rsidP="00031E4A">
      <w:pPr>
        <w:rPr>
          <w:b/>
        </w:rPr>
      </w:pPr>
      <w:r>
        <w:rPr>
          <w:b/>
        </w:rPr>
        <w:t xml:space="preserve">About </w:t>
      </w:r>
      <w:proofErr w:type="spellStart"/>
      <w:r>
        <w:rPr>
          <w:b/>
        </w:rPr>
        <w:t>IDeal</w:t>
      </w:r>
      <w:proofErr w:type="spellEnd"/>
      <w:r>
        <w:rPr>
          <w:b/>
        </w:rPr>
        <w:t xml:space="preserve"> ─ Idaho College Savings Program </w:t>
      </w:r>
    </w:p>
    <w:p w14:paraId="3D8F3D46" w14:textId="77777777" w:rsidR="001C2D10" w:rsidRDefault="001C2D10" w:rsidP="00031E4A"/>
    <w:p w14:paraId="3B2E7122" w14:textId="7CF7D810" w:rsidR="001C2D10" w:rsidRDefault="001C2D10" w:rsidP="00031E4A">
      <w:proofErr w:type="spellStart"/>
      <w:r>
        <w:t>IDeal</w:t>
      </w:r>
      <w:proofErr w:type="spellEnd"/>
      <w:r>
        <w:t xml:space="preserve"> is located within State Treasurer’s office and is administered by the Idaho College Savings Program Board.  </w:t>
      </w:r>
      <w:proofErr w:type="spellStart"/>
      <w:r>
        <w:t>Ascensus</w:t>
      </w:r>
      <w:proofErr w:type="spellEnd"/>
      <w:r>
        <w:t xml:space="preserve"> Broker Dealer Services, Inc. serves as Program Manager.  </w:t>
      </w:r>
    </w:p>
    <w:p w14:paraId="7FB702DC" w14:textId="77777777" w:rsidR="001C2D10" w:rsidRDefault="001C2D10" w:rsidP="00031E4A">
      <w:pPr>
        <w:pStyle w:val="Default"/>
        <w:pBdr>
          <w:bottom w:val="thinThickThinMediumGap" w:sz="18" w:space="1" w:color="auto"/>
        </w:pBdr>
        <w:rPr>
          <w:rStyle w:val="Hyperlink"/>
          <w:rFonts w:asciiTheme="minorHAnsi" w:hAnsiTheme="minorHAnsi"/>
          <w:sz w:val="22"/>
          <w:szCs w:val="22"/>
        </w:rPr>
      </w:pPr>
      <w:r>
        <w:rPr>
          <w:rFonts w:asciiTheme="minorHAnsi" w:eastAsiaTheme="minorEastAsia" w:hAnsiTheme="minorHAnsi" w:cstheme="minorBidi"/>
          <w:color w:val="auto"/>
          <w:sz w:val="22"/>
          <w:szCs w:val="22"/>
        </w:rPr>
        <w:t xml:space="preserve">For more information, about </w:t>
      </w:r>
      <w:proofErr w:type="spellStart"/>
      <w:r>
        <w:rPr>
          <w:rFonts w:asciiTheme="minorHAnsi" w:eastAsiaTheme="minorEastAsia" w:hAnsiTheme="minorHAnsi" w:cstheme="minorBidi"/>
          <w:color w:val="auto"/>
          <w:sz w:val="22"/>
          <w:szCs w:val="22"/>
        </w:rPr>
        <w:t>IDeal</w:t>
      </w:r>
      <w:proofErr w:type="spellEnd"/>
      <w:r>
        <w:rPr>
          <w:rFonts w:asciiTheme="minorHAnsi" w:eastAsiaTheme="minorEastAsia" w:hAnsiTheme="minorHAnsi" w:cstheme="minorBidi"/>
          <w:color w:val="auto"/>
          <w:sz w:val="22"/>
          <w:szCs w:val="22"/>
        </w:rPr>
        <w:t xml:space="preserve">, contact Christine Stoll at 208-332-2935, </w:t>
      </w:r>
      <w:hyperlink r:id="rId4" w:history="1">
        <w:r>
          <w:rPr>
            <w:rStyle w:val="Hyperlink"/>
            <w:rFonts w:asciiTheme="minorHAnsi" w:eastAsiaTheme="minorEastAsia" w:hAnsiTheme="minorHAnsi" w:cstheme="minorBidi"/>
            <w:sz w:val="22"/>
            <w:szCs w:val="22"/>
          </w:rPr>
          <w:t>cstoll@idsaves.idaho.gov</w:t>
        </w:r>
      </w:hyperlink>
      <w:r>
        <w:rPr>
          <w:rFonts w:asciiTheme="minorHAnsi" w:eastAsiaTheme="minorEastAsia" w:hAnsiTheme="minorHAnsi" w:cstheme="minorBidi"/>
          <w:color w:val="auto"/>
          <w:sz w:val="22"/>
          <w:szCs w:val="22"/>
        </w:rPr>
        <w:t xml:space="preserve">, or visit </w:t>
      </w:r>
      <w:hyperlink r:id="rId5" w:history="1">
        <w:r>
          <w:rPr>
            <w:rStyle w:val="Hyperlink"/>
            <w:rFonts w:asciiTheme="minorHAnsi" w:eastAsiaTheme="minorEastAsia" w:hAnsiTheme="minorHAnsi" w:cstheme="minorBidi"/>
            <w:sz w:val="22"/>
            <w:szCs w:val="22"/>
          </w:rPr>
          <w:t>www.idsaves.org</w:t>
        </w:r>
      </w:hyperlink>
      <w:r>
        <w:rPr>
          <w:rFonts w:asciiTheme="minorHAnsi" w:eastAsiaTheme="minorEastAsia" w:hAnsiTheme="minorHAnsi" w:cstheme="minorBidi"/>
          <w:color w:val="auto"/>
          <w:sz w:val="22"/>
          <w:szCs w:val="22"/>
        </w:rPr>
        <w:t xml:space="preserve">. </w:t>
      </w:r>
    </w:p>
    <w:p w14:paraId="2AF5A623" w14:textId="77777777" w:rsidR="001C2D10" w:rsidRPr="003B15FA" w:rsidRDefault="001C2D10" w:rsidP="008C74F0"/>
    <w:p w14:paraId="2CF35C11" w14:textId="6C26CE15" w:rsidR="001C2D10" w:rsidRDefault="003B15FA" w:rsidP="003B15FA">
      <w:r w:rsidRPr="008C74F0">
        <w:t>Please add the following disclosure regarding the testimonials. If any of these folks are paid more that $100, we will have to state that it's a paid testimonial also. </w:t>
      </w:r>
      <w:r w:rsidRPr="008C74F0">
        <w:br/>
      </w:r>
      <w:r w:rsidRPr="008C74F0">
        <w:br/>
        <w:t xml:space="preserve">These testimonials are </w:t>
      </w:r>
      <w:proofErr w:type="gramStart"/>
      <w:r w:rsidRPr="008C74F0">
        <w:t>not </w:t>
      </w:r>
      <w:r>
        <w:t xml:space="preserve"> </w:t>
      </w:r>
      <w:r w:rsidRPr="008C74F0">
        <w:t>representative</w:t>
      </w:r>
      <w:proofErr w:type="gramEnd"/>
      <w:r w:rsidRPr="008C74F0">
        <w:t xml:space="preserve"> of the experience of other</w:t>
      </w:r>
      <w:r>
        <w:t xml:space="preserve"> </w:t>
      </w:r>
      <w:r w:rsidRPr="008C74F0">
        <w:t>customers and ar</w:t>
      </w:r>
      <w:r w:rsidRPr="003B15FA">
        <w:t>e no</w:t>
      </w:r>
      <w:r>
        <w:t xml:space="preserve"> </w:t>
      </w:r>
      <w:r w:rsidRPr="008C74F0">
        <w:t>guarantee</w:t>
      </w:r>
      <w:r>
        <w:t xml:space="preserve"> </w:t>
      </w:r>
      <w:r w:rsidRPr="008C74F0">
        <w:t>of future performance or success of the funds in the 529 accounts.</w:t>
      </w:r>
    </w:p>
    <w:p w14:paraId="27BCEC8C" w14:textId="77777777" w:rsidR="003B15FA" w:rsidRPr="003B15FA" w:rsidRDefault="003B15FA" w:rsidP="003B15FA"/>
    <w:p w14:paraId="0F1FB95E" w14:textId="77777777" w:rsidR="001C2D10" w:rsidRDefault="001C2D10" w:rsidP="00031E4A">
      <w:pPr>
        <w:jc w:val="both"/>
        <w:rPr>
          <w:i/>
        </w:rPr>
      </w:pPr>
      <w:r>
        <w:rPr>
          <w:i/>
        </w:rPr>
        <w:t>For more information about the Idaho College Savings Program (</w:t>
      </w:r>
      <w:proofErr w:type="spellStart"/>
      <w:r>
        <w:rPr>
          <w:i/>
        </w:rPr>
        <w:t>IDeal</w:t>
      </w:r>
      <w:proofErr w:type="spellEnd"/>
      <w:r>
        <w:rPr>
          <w:i/>
        </w:rPr>
        <w:t xml:space="preserve">), call 866-433-2533 or visit </w:t>
      </w:r>
      <w:hyperlink r:id="rId6" w:history="1">
        <w:r>
          <w:rPr>
            <w:rStyle w:val="Hyperlink"/>
            <w:i/>
          </w:rPr>
          <w:t>www.idsaves.org</w:t>
        </w:r>
      </w:hyperlink>
      <w:r>
        <w:rPr>
          <w:i/>
        </w:rPr>
        <w:t xml:space="preserve">  to obtain a Disclosure Statement. The Disclosure Statement discusses investment objectives, risks, charges, expenses, and other important information. Because investing in </w:t>
      </w:r>
      <w:proofErr w:type="spellStart"/>
      <w:r>
        <w:rPr>
          <w:i/>
        </w:rPr>
        <w:t>IDeal</w:t>
      </w:r>
      <w:proofErr w:type="spellEnd"/>
      <w:r>
        <w:rPr>
          <w:i/>
        </w:rPr>
        <w:t xml:space="preserve"> is an important decision for you and your family, you should read and consider the Disclosure Statement carefully before investing. </w:t>
      </w:r>
      <w:proofErr w:type="spellStart"/>
      <w:r>
        <w:rPr>
          <w:i/>
        </w:rPr>
        <w:t>Ascensus</w:t>
      </w:r>
      <w:proofErr w:type="spellEnd"/>
      <w:r>
        <w:rPr>
          <w:i/>
        </w:rPr>
        <w:t xml:space="preserve"> Broker Dealer Services, Inc. (ABD) is Distributor of </w:t>
      </w:r>
      <w:proofErr w:type="spellStart"/>
      <w:r>
        <w:rPr>
          <w:i/>
        </w:rPr>
        <w:t>IDeal</w:t>
      </w:r>
      <w:proofErr w:type="spellEnd"/>
      <w:r>
        <w:rPr>
          <w:i/>
        </w:rPr>
        <w:t>.</w:t>
      </w:r>
    </w:p>
    <w:p w14:paraId="4F16FFAC" w14:textId="77777777" w:rsidR="001C2D10" w:rsidRDefault="001C2D10" w:rsidP="00031E4A">
      <w:pPr>
        <w:jc w:val="both"/>
        <w:rPr>
          <w:i/>
        </w:rPr>
      </w:pPr>
    </w:p>
    <w:p w14:paraId="405B4FFD" w14:textId="45CDACCA" w:rsidR="001C2D10" w:rsidRDefault="001C2D10" w:rsidP="00031E4A">
      <w:pPr>
        <w:jc w:val="both"/>
        <w:rPr>
          <w:i/>
        </w:rPr>
      </w:pPr>
      <w:r>
        <w:rPr>
          <w:i/>
        </w:rPr>
        <w:t xml:space="preserve">If you are not an Idaho taxpayer, consider before investing whether </w:t>
      </w:r>
      <w:proofErr w:type="gramStart"/>
      <w:r>
        <w:rPr>
          <w:i/>
        </w:rPr>
        <w:t>your</w:t>
      </w:r>
      <w:proofErr w:type="gramEnd"/>
      <w:r>
        <w:rPr>
          <w:i/>
        </w:rPr>
        <w:t xml:space="preserve"> or the beneficiary’s home state offers any state tax or other state benefits such as financial aid, scholarship funds, and protection from creditors that are only available for investments in such state’s qualified tuition program. </w:t>
      </w:r>
    </w:p>
    <w:p w14:paraId="0A1862F9" w14:textId="77777777" w:rsidR="001C2D10" w:rsidRDefault="001C2D10" w:rsidP="00031E4A">
      <w:pPr>
        <w:jc w:val="both"/>
      </w:pPr>
    </w:p>
    <w:p w14:paraId="64999790" w14:textId="77777777" w:rsidR="001C2D10" w:rsidRDefault="001C2D10" w:rsidP="00031E4A">
      <w:pPr>
        <w:jc w:val="both"/>
      </w:pPr>
      <w:proofErr w:type="spellStart"/>
      <w:r>
        <w:t>IDeal</w:t>
      </w:r>
      <w:proofErr w:type="spellEnd"/>
      <w:r>
        <w:t xml:space="preserve"> is administered by the Idaho College Savings Program Board (Board). ABD, the program manager, and its affiliates, have overall responsibility for the day-to-day operations, including investment advisory and recordkeeping and administrative services.  The Vanguard Group, Inc. (Vanguard) serves as Investment Manager for </w:t>
      </w:r>
      <w:proofErr w:type="spellStart"/>
      <w:r>
        <w:t>IDeal</w:t>
      </w:r>
      <w:proofErr w:type="spellEnd"/>
      <w:r>
        <w:t xml:space="preserve">. Sallie Mae Bank serves as the Savings Portfolio Manager for </w:t>
      </w:r>
      <w:proofErr w:type="spellStart"/>
      <w:r>
        <w:t>IDeal</w:t>
      </w:r>
      <w:proofErr w:type="spellEnd"/>
      <w:r>
        <w:t xml:space="preserve">. </w:t>
      </w:r>
      <w:proofErr w:type="spellStart"/>
      <w:r>
        <w:t>IDeal's</w:t>
      </w:r>
      <w:proofErr w:type="spellEnd"/>
      <w:r>
        <w:t xml:space="preserve"> Portfolios invest in either: (</w:t>
      </w:r>
      <w:proofErr w:type="spellStart"/>
      <w:r>
        <w:t>i</w:t>
      </w:r>
      <w:proofErr w:type="spellEnd"/>
      <w:r>
        <w:t xml:space="preserve">) mutual funds offered or managed by Vanguard; or (ii) an FDIC-insured omnibus savings account held in trust by the Board at Sallie Mae Bank. Except for the Savings Portfolio, investments in </w:t>
      </w:r>
      <w:proofErr w:type="spellStart"/>
      <w:r>
        <w:t>IDeal</w:t>
      </w:r>
      <w:proofErr w:type="spellEnd"/>
      <w:r>
        <w:t xml:space="preserve"> are not insured by the FDIC. Units of the Portfolios are municipal securities and the value of units will vary with market conditions. </w:t>
      </w:r>
    </w:p>
    <w:p w14:paraId="7358567C" w14:textId="77777777" w:rsidR="001C2D10" w:rsidRDefault="001C2D10" w:rsidP="00031E4A"/>
    <w:p w14:paraId="1EFAD7D2" w14:textId="77777777" w:rsidR="001C2D10" w:rsidRDefault="001C2D10" w:rsidP="00031E4A">
      <w:r>
        <w:t xml:space="preserve">Investment returns will vary depending upon the performance of the Portfolios you choose. Except to the extent of FDIC insurance available for the Savings Portfolio, you could lose all or a portion of your money by investing in </w:t>
      </w:r>
      <w:proofErr w:type="spellStart"/>
      <w:r>
        <w:t>IDeal</w:t>
      </w:r>
      <w:proofErr w:type="spellEnd"/>
      <w:r>
        <w:t xml:space="preserve">, depending on market conditions. Account Owners assume all investment risks as well as responsibility for any federal and state tax consequences. </w:t>
      </w:r>
    </w:p>
    <w:p w14:paraId="18366809" w14:textId="77777777" w:rsidR="001C2D10" w:rsidRDefault="001C2D10" w:rsidP="00031E4A"/>
    <w:tbl>
      <w:tblPr>
        <w:tblW w:w="5184" w:type="pct"/>
        <w:tblCellSpacing w:w="0" w:type="dxa"/>
        <w:tblInd w:w="141" w:type="dxa"/>
        <w:shd w:val="clear" w:color="auto" w:fill="FFFFFF"/>
        <w:tblCellMar>
          <w:left w:w="0" w:type="dxa"/>
          <w:right w:w="0" w:type="dxa"/>
        </w:tblCellMar>
        <w:tblLook w:val="04A0" w:firstRow="1" w:lastRow="0" w:firstColumn="1" w:lastColumn="0" w:noHBand="0" w:noVBand="1"/>
      </w:tblPr>
      <w:tblGrid>
        <w:gridCol w:w="4676"/>
        <w:gridCol w:w="3503"/>
        <w:gridCol w:w="1525"/>
      </w:tblGrid>
      <w:tr w:rsidR="001C2D10" w14:paraId="5495586B" w14:textId="77777777">
        <w:trPr>
          <w:trHeight w:val="537"/>
          <w:tblCellSpacing w:w="0" w:type="dxa"/>
        </w:trPr>
        <w:tc>
          <w:tcPr>
            <w:tcW w:w="2409" w:type="pct"/>
            <w:shd w:val="clear" w:color="auto" w:fill="FFFFFF"/>
            <w:hideMark/>
          </w:tcPr>
          <w:p w14:paraId="7A41E573" w14:textId="77777777" w:rsidR="001C2D10" w:rsidRDefault="001C2D10">
            <w:pPr>
              <w:rPr>
                <w:b/>
              </w:rPr>
            </w:pPr>
            <w:r>
              <w:rPr>
                <w:b/>
              </w:rPr>
              <w:t>Not FDIC-Insured (except for the Savings Portfolio).</w:t>
            </w:r>
          </w:p>
        </w:tc>
        <w:tc>
          <w:tcPr>
            <w:tcW w:w="1805" w:type="pct"/>
            <w:shd w:val="clear" w:color="auto" w:fill="FFFFFF"/>
            <w:hideMark/>
          </w:tcPr>
          <w:p w14:paraId="4D0C7838" w14:textId="77777777" w:rsidR="001C2D10" w:rsidRDefault="001C2D10">
            <w:pPr>
              <w:rPr>
                <w:b/>
              </w:rPr>
            </w:pPr>
            <w:r>
              <w:rPr>
                <w:b/>
              </w:rPr>
              <w:t xml:space="preserve">No Bank, State or Federal Guarantee. </w:t>
            </w:r>
          </w:p>
        </w:tc>
        <w:tc>
          <w:tcPr>
            <w:tcW w:w="786" w:type="pct"/>
            <w:shd w:val="clear" w:color="auto" w:fill="FFFFFF"/>
            <w:hideMark/>
          </w:tcPr>
          <w:p w14:paraId="726CD787" w14:textId="77777777" w:rsidR="001C2D10" w:rsidRDefault="001C2D10">
            <w:pPr>
              <w:rPr>
                <w:b/>
              </w:rPr>
            </w:pPr>
            <w:r>
              <w:rPr>
                <w:b/>
              </w:rPr>
              <w:t>May Lose Value.</w:t>
            </w:r>
          </w:p>
        </w:tc>
      </w:tr>
    </w:tbl>
    <w:p w14:paraId="006DDCD0" w14:textId="77777777" w:rsidR="001C2D10" w:rsidRDefault="001C2D10" w:rsidP="00031E4A">
      <w:pPr>
        <w:rPr>
          <w:b/>
        </w:rPr>
      </w:pPr>
    </w:p>
    <w:p w14:paraId="11BCC62C" w14:textId="77777777" w:rsidR="001C2D10" w:rsidRDefault="001C2D10" w:rsidP="00031E4A"/>
    <w:p w14:paraId="120B38B7" w14:textId="77777777" w:rsidR="001C2D10" w:rsidRDefault="001C2D10" w:rsidP="00031E4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Futura PT Book">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AB48" w14:textId="77777777" w:rsidR="008C74F0" w:rsidRDefault="008C74F0" w:rsidP="00126A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084EA" w14:textId="77777777" w:rsidR="008C74F0" w:rsidRDefault="008C74F0" w:rsidP="008C74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D08" w14:textId="77777777" w:rsidR="008C74F0" w:rsidRDefault="008C74F0" w:rsidP="00126A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1C1">
      <w:rPr>
        <w:rStyle w:val="PageNumber"/>
        <w:noProof/>
      </w:rPr>
      <w:t>2</w:t>
    </w:r>
    <w:r>
      <w:rPr>
        <w:rStyle w:val="PageNumber"/>
      </w:rPr>
      <w:fldChar w:fldCharType="end"/>
    </w:r>
  </w:p>
  <w:p w14:paraId="477A6319" w14:textId="77777777" w:rsidR="008C74F0" w:rsidRDefault="008C74F0" w:rsidP="008C74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11710" w14:textId="77777777" w:rsidR="00DC7A83" w:rsidRDefault="00DC7A83" w:rsidP="00031E4A">
      <w:r>
        <w:separator/>
      </w:r>
    </w:p>
  </w:footnote>
  <w:footnote w:type="continuationSeparator" w:id="0">
    <w:p w14:paraId="5EB5BFFE" w14:textId="77777777" w:rsidR="00DC7A83" w:rsidRDefault="00DC7A83" w:rsidP="00031E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0133D"/>
    <w:multiLevelType w:val="hybridMultilevel"/>
    <w:tmpl w:val="9E6C1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0B08E8"/>
    <w:multiLevelType w:val="hybridMultilevel"/>
    <w:tmpl w:val="A5F67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76E71"/>
    <w:multiLevelType w:val="hybridMultilevel"/>
    <w:tmpl w:val="6ED45B42"/>
    <w:lvl w:ilvl="0" w:tplc="A2BEFB8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8F109A4"/>
    <w:multiLevelType w:val="hybridMultilevel"/>
    <w:tmpl w:val="F5B23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4A26EC"/>
    <w:multiLevelType w:val="hybridMultilevel"/>
    <w:tmpl w:val="10C0F948"/>
    <w:lvl w:ilvl="0" w:tplc="A2BEFB8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7066E30"/>
    <w:multiLevelType w:val="hybridMultilevel"/>
    <w:tmpl w:val="DF708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4A"/>
    <w:rsid w:val="00001B16"/>
    <w:rsid w:val="00031E4A"/>
    <w:rsid w:val="00031ED7"/>
    <w:rsid w:val="00034AED"/>
    <w:rsid w:val="000466E9"/>
    <w:rsid w:val="00071E58"/>
    <w:rsid w:val="000A0119"/>
    <w:rsid w:val="000C1A6E"/>
    <w:rsid w:val="000C4DCF"/>
    <w:rsid w:val="000F5A99"/>
    <w:rsid w:val="00144BA1"/>
    <w:rsid w:val="001A0DA6"/>
    <w:rsid w:val="001C2D10"/>
    <w:rsid w:val="001D0653"/>
    <w:rsid w:val="001D08F0"/>
    <w:rsid w:val="0021282F"/>
    <w:rsid w:val="00232F09"/>
    <w:rsid w:val="00235EB2"/>
    <w:rsid w:val="00240F33"/>
    <w:rsid w:val="00241362"/>
    <w:rsid w:val="00242855"/>
    <w:rsid w:val="00255C32"/>
    <w:rsid w:val="002E1FBC"/>
    <w:rsid w:val="0030203B"/>
    <w:rsid w:val="003522CA"/>
    <w:rsid w:val="00353863"/>
    <w:rsid w:val="003771C1"/>
    <w:rsid w:val="00384D69"/>
    <w:rsid w:val="003B15FA"/>
    <w:rsid w:val="003D5380"/>
    <w:rsid w:val="003F3A6B"/>
    <w:rsid w:val="00414089"/>
    <w:rsid w:val="004A4612"/>
    <w:rsid w:val="004C0A20"/>
    <w:rsid w:val="004F1400"/>
    <w:rsid w:val="00503E36"/>
    <w:rsid w:val="00515834"/>
    <w:rsid w:val="005275C1"/>
    <w:rsid w:val="00593817"/>
    <w:rsid w:val="005E5F34"/>
    <w:rsid w:val="005E7933"/>
    <w:rsid w:val="005F3E75"/>
    <w:rsid w:val="0061445B"/>
    <w:rsid w:val="00635297"/>
    <w:rsid w:val="006569BF"/>
    <w:rsid w:val="00675558"/>
    <w:rsid w:val="0067748B"/>
    <w:rsid w:val="006A4CBC"/>
    <w:rsid w:val="00701CFD"/>
    <w:rsid w:val="007273FE"/>
    <w:rsid w:val="007361DF"/>
    <w:rsid w:val="007F7ECA"/>
    <w:rsid w:val="00811635"/>
    <w:rsid w:val="00832BB3"/>
    <w:rsid w:val="008365F4"/>
    <w:rsid w:val="00881D25"/>
    <w:rsid w:val="008A0842"/>
    <w:rsid w:val="008A5521"/>
    <w:rsid w:val="008C200F"/>
    <w:rsid w:val="008C74F0"/>
    <w:rsid w:val="008C7D8F"/>
    <w:rsid w:val="009146BA"/>
    <w:rsid w:val="009364AB"/>
    <w:rsid w:val="00993546"/>
    <w:rsid w:val="009D672A"/>
    <w:rsid w:val="009D7B8B"/>
    <w:rsid w:val="009E6C86"/>
    <w:rsid w:val="00A2154B"/>
    <w:rsid w:val="00A96C7C"/>
    <w:rsid w:val="00B37304"/>
    <w:rsid w:val="00B53F25"/>
    <w:rsid w:val="00BA4757"/>
    <w:rsid w:val="00C17470"/>
    <w:rsid w:val="00C21553"/>
    <w:rsid w:val="00C2704F"/>
    <w:rsid w:val="00C371FE"/>
    <w:rsid w:val="00CB7CFC"/>
    <w:rsid w:val="00CC0D68"/>
    <w:rsid w:val="00CC5915"/>
    <w:rsid w:val="00D23E98"/>
    <w:rsid w:val="00DA5067"/>
    <w:rsid w:val="00DB308E"/>
    <w:rsid w:val="00DC7A83"/>
    <w:rsid w:val="00E83009"/>
    <w:rsid w:val="00F022E3"/>
    <w:rsid w:val="00F62161"/>
    <w:rsid w:val="00FE4356"/>
    <w:rsid w:val="00FE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37B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E4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E4A"/>
    <w:rPr>
      <w:color w:val="0563C1" w:themeColor="hyperlink"/>
      <w:u w:val="single"/>
    </w:rPr>
  </w:style>
  <w:style w:type="paragraph" w:styleId="Header">
    <w:name w:val="header"/>
    <w:basedOn w:val="Normal"/>
    <w:link w:val="HeaderChar"/>
    <w:uiPriority w:val="99"/>
    <w:unhideWhenUsed/>
    <w:rsid w:val="00031E4A"/>
    <w:pPr>
      <w:tabs>
        <w:tab w:val="center" w:pos="4680"/>
        <w:tab w:val="right" w:pos="9360"/>
      </w:tabs>
    </w:pPr>
  </w:style>
  <w:style w:type="character" w:customStyle="1" w:styleId="HeaderChar">
    <w:name w:val="Header Char"/>
    <w:basedOn w:val="DefaultParagraphFont"/>
    <w:link w:val="Header"/>
    <w:uiPriority w:val="99"/>
    <w:rsid w:val="00031E4A"/>
    <w:rPr>
      <w:rFonts w:ascii="Times New Roman" w:hAnsi="Times New Roman" w:cs="Times New Roman"/>
    </w:rPr>
  </w:style>
  <w:style w:type="paragraph" w:styleId="EndnoteText">
    <w:name w:val="endnote text"/>
    <w:basedOn w:val="Normal"/>
    <w:link w:val="EndnoteTextChar"/>
    <w:uiPriority w:val="99"/>
    <w:semiHidden/>
    <w:unhideWhenUsed/>
    <w:rsid w:val="00031E4A"/>
    <w:rPr>
      <w:rFonts w:asciiTheme="minorHAnsi" w:hAnsiTheme="minorHAnsi" w:cstheme="minorBidi"/>
    </w:rPr>
  </w:style>
  <w:style w:type="character" w:customStyle="1" w:styleId="EndnoteTextChar">
    <w:name w:val="Endnote Text Char"/>
    <w:basedOn w:val="DefaultParagraphFont"/>
    <w:link w:val="EndnoteText"/>
    <w:uiPriority w:val="99"/>
    <w:semiHidden/>
    <w:rsid w:val="00031E4A"/>
  </w:style>
  <w:style w:type="paragraph" w:styleId="ListParagraph">
    <w:name w:val="List Paragraph"/>
    <w:basedOn w:val="Normal"/>
    <w:uiPriority w:val="34"/>
    <w:qFormat/>
    <w:rsid w:val="00031E4A"/>
    <w:pPr>
      <w:ind w:left="720"/>
      <w:contextualSpacing/>
    </w:pPr>
    <w:rPr>
      <w:rFonts w:asciiTheme="minorHAnsi" w:hAnsiTheme="minorHAnsi" w:cstheme="minorBidi"/>
    </w:rPr>
  </w:style>
  <w:style w:type="paragraph" w:customStyle="1" w:styleId="Default">
    <w:name w:val="Default"/>
    <w:rsid w:val="00031E4A"/>
    <w:pPr>
      <w:widowControl w:val="0"/>
      <w:autoSpaceDE w:val="0"/>
      <w:autoSpaceDN w:val="0"/>
      <w:adjustRightInd w:val="0"/>
    </w:pPr>
    <w:rPr>
      <w:rFonts w:ascii="Times New Roman" w:eastAsia="Calibri" w:hAnsi="Times New Roman" w:cs="Times New Roman"/>
      <w:color w:val="000000"/>
    </w:rPr>
  </w:style>
  <w:style w:type="character" w:styleId="EndnoteReference">
    <w:name w:val="endnote reference"/>
    <w:basedOn w:val="DefaultParagraphFont"/>
    <w:uiPriority w:val="99"/>
    <w:semiHidden/>
    <w:unhideWhenUsed/>
    <w:rsid w:val="00031E4A"/>
    <w:rPr>
      <w:vertAlign w:val="superscript"/>
    </w:rPr>
  </w:style>
  <w:style w:type="table" w:styleId="TableGrid">
    <w:name w:val="Table Grid"/>
    <w:basedOn w:val="TableNormal"/>
    <w:uiPriority w:val="39"/>
    <w:rsid w:val="00031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2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F09"/>
    <w:rPr>
      <w:rFonts w:ascii="Segoe UI" w:hAnsi="Segoe UI" w:cs="Segoe UI"/>
      <w:sz w:val="18"/>
      <w:szCs w:val="18"/>
    </w:rPr>
  </w:style>
  <w:style w:type="character" w:styleId="CommentReference">
    <w:name w:val="annotation reference"/>
    <w:basedOn w:val="DefaultParagraphFont"/>
    <w:uiPriority w:val="99"/>
    <w:semiHidden/>
    <w:unhideWhenUsed/>
    <w:rsid w:val="00232F09"/>
    <w:rPr>
      <w:sz w:val="16"/>
      <w:szCs w:val="16"/>
    </w:rPr>
  </w:style>
  <w:style w:type="paragraph" w:styleId="CommentText">
    <w:name w:val="annotation text"/>
    <w:basedOn w:val="Normal"/>
    <w:link w:val="CommentTextChar"/>
    <w:uiPriority w:val="99"/>
    <w:semiHidden/>
    <w:unhideWhenUsed/>
    <w:rsid w:val="00232F09"/>
    <w:rPr>
      <w:sz w:val="20"/>
      <w:szCs w:val="20"/>
    </w:rPr>
  </w:style>
  <w:style w:type="character" w:customStyle="1" w:styleId="CommentTextChar">
    <w:name w:val="Comment Text Char"/>
    <w:basedOn w:val="DefaultParagraphFont"/>
    <w:link w:val="CommentText"/>
    <w:uiPriority w:val="99"/>
    <w:semiHidden/>
    <w:rsid w:val="00232F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F09"/>
    <w:rPr>
      <w:b/>
      <w:bCs/>
    </w:rPr>
  </w:style>
  <w:style w:type="character" w:customStyle="1" w:styleId="CommentSubjectChar">
    <w:name w:val="Comment Subject Char"/>
    <w:basedOn w:val="CommentTextChar"/>
    <w:link w:val="CommentSubject"/>
    <w:uiPriority w:val="99"/>
    <w:semiHidden/>
    <w:rsid w:val="00232F09"/>
    <w:rPr>
      <w:rFonts w:ascii="Times New Roman" w:hAnsi="Times New Roman" w:cs="Times New Roman"/>
      <w:b/>
      <w:bCs/>
      <w:sz w:val="20"/>
      <w:szCs w:val="20"/>
    </w:rPr>
  </w:style>
  <w:style w:type="paragraph" w:styleId="Revision">
    <w:name w:val="Revision"/>
    <w:hidden/>
    <w:uiPriority w:val="99"/>
    <w:semiHidden/>
    <w:rsid w:val="004A4612"/>
    <w:rPr>
      <w:rFonts w:ascii="Times New Roman" w:hAnsi="Times New Roman" w:cs="Times New Roman"/>
    </w:rPr>
  </w:style>
  <w:style w:type="character" w:customStyle="1" w:styleId="apple-converted-space">
    <w:name w:val="apple-converted-space"/>
    <w:basedOn w:val="DefaultParagraphFont"/>
    <w:rsid w:val="003B15FA"/>
  </w:style>
  <w:style w:type="paragraph" w:styleId="Footer">
    <w:name w:val="footer"/>
    <w:basedOn w:val="Normal"/>
    <w:link w:val="FooterChar"/>
    <w:uiPriority w:val="99"/>
    <w:unhideWhenUsed/>
    <w:rsid w:val="008C74F0"/>
    <w:pPr>
      <w:tabs>
        <w:tab w:val="center" w:pos="4680"/>
        <w:tab w:val="right" w:pos="9360"/>
      </w:tabs>
    </w:pPr>
  </w:style>
  <w:style w:type="character" w:customStyle="1" w:styleId="FooterChar">
    <w:name w:val="Footer Char"/>
    <w:basedOn w:val="DefaultParagraphFont"/>
    <w:link w:val="Footer"/>
    <w:uiPriority w:val="99"/>
    <w:rsid w:val="008C74F0"/>
    <w:rPr>
      <w:rFonts w:ascii="Times New Roman" w:hAnsi="Times New Roman" w:cs="Times New Roman"/>
    </w:rPr>
  </w:style>
  <w:style w:type="character" w:styleId="PageNumber">
    <w:name w:val="page number"/>
    <w:basedOn w:val="DefaultParagraphFont"/>
    <w:uiPriority w:val="99"/>
    <w:semiHidden/>
    <w:unhideWhenUsed/>
    <w:rsid w:val="008C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574961">
      <w:bodyDiv w:val="1"/>
      <w:marLeft w:val="0"/>
      <w:marRight w:val="0"/>
      <w:marTop w:val="0"/>
      <w:marBottom w:val="0"/>
      <w:divBdr>
        <w:top w:val="none" w:sz="0" w:space="0" w:color="auto"/>
        <w:left w:val="none" w:sz="0" w:space="0" w:color="auto"/>
        <w:bottom w:val="none" w:sz="0" w:space="0" w:color="auto"/>
        <w:right w:val="none" w:sz="0" w:space="0" w:color="auto"/>
      </w:divBdr>
      <w:divsChild>
        <w:div w:id="1121192265">
          <w:marLeft w:val="0"/>
          <w:marRight w:val="0"/>
          <w:marTop w:val="0"/>
          <w:marBottom w:val="0"/>
          <w:divBdr>
            <w:top w:val="none" w:sz="0" w:space="0" w:color="auto"/>
            <w:left w:val="none" w:sz="0" w:space="0" w:color="auto"/>
            <w:bottom w:val="single" w:sz="6" w:space="3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file:///C:\Users\cstoll\AppData\Local\Downloads\Life-After-High-School-SO%20(3).pdf" TargetMode="External"/><Relationship Id="rId9" Type="http://schemas.openxmlformats.org/officeDocument/2006/relationships/hyperlink" Target="http://www.ktvb.com/life/life-in-balance/life-in-balance-how-one-bsu-grad-paid-off-3000-in-loans-in-less-than-a-year/494790592" TargetMode="External"/><Relationship Id="rId10"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s://csd.wustl.edu/publications/documents/rpb09-29.pdf" TargetMode="External"/><Relationship Id="rId4" Type="http://schemas.openxmlformats.org/officeDocument/2006/relationships/hyperlink" Target="mailto:cstoll@idsaves.idaho.gov" TargetMode="External"/><Relationship Id="rId5" Type="http://schemas.openxmlformats.org/officeDocument/2006/relationships/hyperlink" Target="http://www.idsaves.org" TargetMode="External"/><Relationship Id="rId6" Type="http://schemas.openxmlformats.org/officeDocument/2006/relationships/hyperlink" Target="http://www.idsaves.org" TargetMode="External"/><Relationship Id="rId1" Type="http://schemas.openxmlformats.org/officeDocument/2006/relationships/hyperlink" Target="https://www.economist.com/news/united-states/21600131-too-many-degrees-are-waste-money-return-higher-education-would-be-much-better" TargetMode="External"/><Relationship Id="rId2" Type="http://schemas.openxmlformats.org/officeDocument/2006/relationships/hyperlink" Target="https://source.wustl.edu/2011/04/kids-with-savings-accounts-in-their-name-six-times-more-likely-to-attend-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2876</Words>
  <Characters>16396</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Idaho State Treasurer's Office</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2017-12-05T20:59:00Z</cp:lastPrinted>
  <dcterms:created xsi:type="dcterms:W3CDTF">2018-01-02T23:11:00Z</dcterms:created>
  <dcterms:modified xsi:type="dcterms:W3CDTF">2018-01-02T23:11:00Z</dcterms:modified>
</cp:coreProperties>
</file>